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7307"/>
      </w:tblGrid>
      <w:tr w:rsidR="0032782A" w:rsidTr="00CE51E0">
        <w:trPr>
          <w:trHeight w:val="10482"/>
        </w:trPr>
        <w:tc>
          <w:tcPr>
            <w:tcW w:w="7479" w:type="dxa"/>
          </w:tcPr>
          <w:p w:rsidR="00593E66" w:rsidRDefault="00593E66" w:rsidP="00593E66">
            <w:pPr>
              <w:spacing w:before="60" w:after="60"/>
              <w:jc w:val="both"/>
            </w:pPr>
            <w:bookmarkStart w:id="0" w:name="_GoBack"/>
            <w:bookmarkEnd w:id="0"/>
          </w:p>
          <w:p w:rsidR="00593E66" w:rsidRDefault="00593E66" w:rsidP="00593E66">
            <w:pPr>
              <w:spacing w:before="60" w:after="60"/>
              <w:jc w:val="both"/>
            </w:pPr>
          </w:p>
          <w:p w:rsidR="00593E66" w:rsidRDefault="00593E66" w:rsidP="00593E66">
            <w:pPr>
              <w:spacing w:before="60" w:after="60"/>
              <w:jc w:val="both"/>
            </w:pPr>
          </w:p>
          <w:p w:rsidR="00593E66" w:rsidRDefault="00593E66" w:rsidP="00593E66">
            <w:pPr>
              <w:spacing w:before="60" w:after="60"/>
              <w:jc w:val="both"/>
            </w:pPr>
          </w:p>
          <w:p w:rsidR="00593E66" w:rsidRDefault="00593E66" w:rsidP="00593E66">
            <w:pPr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32"/>
                <w:szCs w:val="32"/>
              </w:rPr>
            </w:pPr>
          </w:p>
          <w:p w:rsidR="00593E66" w:rsidRDefault="00593E66" w:rsidP="00593E66">
            <w:pPr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32"/>
                <w:szCs w:val="32"/>
              </w:rPr>
            </w:pPr>
          </w:p>
          <w:p w:rsidR="00593E66" w:rsidRDefault="00593E66" w:rsidP="00593E66">
            <w:pPr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32"/>
                <w:szCs w:val="32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32"/>
                <w:szCs w:val="32"/>
              </w:rPr>
              <w:t>Контакты:</w:t>
            </w:r>
          </w:p>
          <w:p w:rsidR="00593E66" w:rsidRPr="00593E66" w:rsidRDefault="00593E66" w:rsidP="00593E66">
            <w:pPr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32"/>
                <w:szCs w:val="32"/>
              </w:rPr>
            </w:pPr>
          </w:p>
          <w:p w:rsidR="00593E66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з</w:t>
            </w: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 xml:space="preserve">аведующий лабораторией макроэкономического прогнозирования </w:t>
            </w: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и стратегического планирования</w:t>
            </w:r>
          </w:p>
          <w:p w:rsidR="00593E66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д.э</w:t>
            </w: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.н. Цыбатов Владимир Андреевич</w:t>
            </w:r>
          </w:p>
          <w:p w:rsidR="00593E66" w:rsidRPr="002E2268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  <w:lang w:val="en-US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тел</w:t>
            </w: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  <w:lang w:val="en-US"/>
              </w:rPr>
              <w:t>. +7 927 </w:t>
            </w: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  <w:lang w:val="en-US"/>
              </w:rPr>
              <w:t>706 3464</w:t>
            </w:r>
          </w:p>
          <w:p w:rsidR="00593E66" w:rsidRPr="00593E66" w:rsidRDefault="00593E66" w:rsidP="00593E6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  <w:lang w:val="en-US"/>
              </w:rPr>
              <w:t>e-mail</w:t>
            </w:r>
            <w:r w:rsidRPr="00593E66">
              <w:rPr>
                <w:rFonts w:ascii="Century Gothic" w:eastAsia="Century Gothic" w:hAnsi="Century Gothic" w:cs="Century Gothic"/>
                <w:b/>
                <w:bCs/>
                <w:color w:val="0067AB"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Pr="00562C5E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tva</w:t>
              </w:r>
              <w:r w:rsidRPr="00593E66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82@</w:t>
              </w:r>
              <w:r w:rsidRPr="00562C5E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yandex</w:t>
              </w:r>
              <w:r w:rsidRPr="00593E66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562C5E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  <w:p w:rsidR="00593E66" w:rsidRPr="00593E66" w:rsidRDefault="00593E66" w:rsidP="00593E6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593E66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и</w:t>
            </w: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 xml:space="preserve">нформационное обеспечение: </w:t>
            </w:r>
          </w:p>
          <w:p w:rsidR="00593E66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Павлов Леонид Павлович</w:t>
            </w:r>
          </w:p>
          <w:p w:rsidR="00593E66" w:rsidRDefault="00593E66" w:rsidP="00593E66">
            <w:pPr>
              <w:spacing w:before="60" w:after="60"/>
              <w:jc w:val="center"/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тел. +7 903 303</w:t>
            </w:r>
            <w:r w:rsidRPr="002E226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</w:rPr>
              <w:t>4699</w:t>
            </w:r>
          </w:p>
          <w:p w:rsidR="00593E66" w:rsidRPr="00593E66" w:rsidRDefault="00593E66" w:rsidP="00593E6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593E66">
              <w:rPr>
                <w:rFonts w:ascii="Arial" w:eastAsia="Century Gothic" w:hAnsi="Arial" w:cs="Arial"/>
                <w:b/>
                <w:bCs/>
                <w:color w:val="0067AB"/>
                <w:sz w:val="24"/>
                <w:szCs w:val="24"/>
                <w:lang w:val="en-US"/>
              </w:rPr>
              <w:t>e-mail:</w:t>
            </w:r>
            <w:r w:rsidRPr="00A00D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hyperlink r:id="rId8" w:history="1">
              <w:r w:rsidRPr="00562C5E">
                <w:rPr>
                  <w:rStyle w:val="a7"/>
                  <w:rFonts w:ascii="Arial" w:hAnsi="Arial" w:cs="Arial"/>
                  <w:sz w:val="20"/>
                  <w:szCs w:val="20"/>
                  <w:lang w:val="en-US"/>
                </w:rPr>
                <w:t>plp@lenta.ru</w:t>
              </w:r>
            </w:hyperlink>
          </w:p>
          <w:p w:rsidR="00593E66" w:rsidRPr="00593E66" w:rsidRDefault="00593E66" w:rsidP="00593E6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593E66" w:rsidRPr="00593E66" w:rsidRDefault="00593E66" w:rsidP="00593E66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93E66" w:rsidRPr="00593E66" w:rsidRDefault="00593E66" w:rsidP="00593E66">
            <w:pPr>
              <w:spacing w:before="60" w:after="60"/>
              <w:jc w:val="both"/>
              <w:rPr>
                <w:lang w:val="en-US"/>
              </w:rPr>
            </w:pPr>
          </w:p>
        </w:tc>
        <w:tc>
          <w:tcPr>
            <w:tcW w:w="7307" w:type="dxa"/>
          </w:tcPr>
          <w:p w:rsidR="00865FEA" w:rsidRPr="002E2268" w:rsidRDefault="00865FEA"/>
          <w:p w:rsidR="00865FEA" w:rsidRPr="002E2268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  <w:r w:rsidRPr="006E1E9C">
              <w:rPr>
                <w:rFonts w:ascii="Arial" w:eastAsia="Arial" w:hAnsi="Arial" w:cs="Arial"/>
                <w:smallCaps/>
                <w:noProof/>
                <w:color w:val="00718C"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678318" wp14:editId="501D2821">
                      <wp:simplePos x="0" y="0"/>
                      <wp:positionH relativeFrom="page">
                        <wp:posOffset>218440</wp:posOffset>
                      </wp:positionH>
                      <wp:positionV relativeFrom="paragraph">
                        <wp:posOffset>132080</wp:posOffset>
                      </wp:positionV>
                      <wp:extent cx="4230370" cy="695960"/>
                      <wp:effectExtent l="0" t="0" r="0" b="0"/>
                      <wp:wrapSquare wrapText="bothSides"/>
                      <wp:docPr id="3" name="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370" cy="6959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65FEA" w:rsidRDefault="00865FEA" w:rsidP="00865FEA">
                                  <w:pPr>
                                    <w:pStyle w:val="60"/>
                                    <w:jc w:val="center"/>
                                  </w:pPr>
                                  <w:r w:rsidRPr="006E1E9C">
                                    <w:t xml:space="preserve">ФГБОУ ВО </w:t>
                                  </w:r>
                                </w:p>
                                <w:p w:rsidR="00865FEA" w:rsidRDefault="00865FEA" w:rsidP="00865FEA">
                                  <w:pPr>
                                    <w:pStyle w:val="60"/>
                                    <w:jc w:val="center"/>
                                  </w:pPr>
                                  <w:r>
                                    <w:t>САМАРСКИЙ  ГОСУДАРСТВЕННЫЙ ЭКОНОМИЧЕСКИЙ УНИВЕРСИТЕТ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hape 3" o:spid="_x0000_s1026" type="#_x0000_t202" style="position:absolute;left:0;text-align:left;margin-left:17.2pt;margin-top:10.4pt;width:333.1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" filled="f" stroked="f">
                      <v:textbox inset="0,0,0,0">
                        <w:txbxContent>
                          <w:p w:rsidR="00865FEA" w:rsidRDefault="00865FEA" w:rsidP="00865FEA">
                            <w:pPr>
                              <w:pStyle w:val="60"/>
                              <w:jc w:val="center"/>
                            </w:pPr>
                            <w:r w:rsidRPr="006E1E9C">
                              <w:t xml:space="preserve">ФГБОУ ВО </w:t>
                            </w:r>
                          </w:p>
                          <w:p w:rsidR="00865FEA" w:rsidRDefault="00865FEA" w:rsidP="00865FEA">
                            <w:pPr>
                              <w:pStyle w:val="60"/>
                              <w:jc w:val="center"/>
                            </w:pPr>
                            <w:r>
                              <w:t>САМАРСКИЙ  ГОСУДАРСТВЕННЫЙ ЭКОНОМИЧЕСКИЙ УНИВЕРСИТЕТ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  <w:p w:rsidR="00865FEA" w:rsidRPr="002E2268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</w:p>
          <w:p w:rsidR="00865FEA" w:rsidRPr="002E2268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</w:p>
          <w:p w:rsidR="00865FEA" w:rsidRPr="00865FEA" w:rsidRDefault="00865FEA" w:rsidP="00865FEA">
            <w:pPr>
              <w:pStyle w:val="40"/>
              <w:spacing w:line="202" w:lineRule="auto"/>
              <w:jc w:val="center"/>
              <w:rPr>
                <w:rFonts w:ascii="Arial Black" w:eastAsia="Arial" w:hAnsi="Arial Black" w:cs="Arial"/>
                <w:smallCaps/>
                <w:color w:val="00718C"/>
                <w:sz w:val="44"/>
                <w:szCs w:val="44"/>
              </w:rPr>
            </w:pPr>
            <w:r w:rsidRPr="00865FEA">
              <w:rPr>
                <w:rFonts w:ascii="Arial Black" w:eastAsia="Arial" w:hAnsi="Arial Black" w:cs="Arial"/>
                <w:smallCaps/>
                <w:color w:val="00718C"/>
                <w:sz w:val="44"/>
                <w:szCs w:val="44"/>
              </w:rPr>
              <w:t xml:space="preserve">УСЛУГИ </w:t>
            </w:r>
          </w:p>
          <w:p w:rsidR="00865FEA" w:rsidRPr="00865FEA" w:rsidRDefault="00865FEA" w:rsidP="00865FEA">
            <w:pPr>
              <w:pStyle w:val="40"/>
              <w:spacing w:line="202" w:lineRule="auto"/>
              <w:jc w:val="center"/>
              <w:rPr>
                <w:rFonts w:ascii="Arial Black" w:eastAsia="Arial" w:hAnsi="Arial Black" w:cs="Arial"/>
                <w:smallCaps/>
                <w:color w:val="00718C"/>
                <w:sz w:val="44"/>
                <w:szCs w:val="44"/>
              </w:rPr>
            </w:pPr>
            <w:r w:rsidRPr="00865FEA">
              <w:rPr>
                <w:rFonts w:ascii="Arial Black" w:eastAsia="Arial" w:hAnsi="Arial Black" w:cs="Arial"/>
                <w:smallCaps/>
                <w:color w:val="00718C"/>
                <w:sz w:val="44"/>
                <w:szCs w:val="44"/>
              </w:rPr>
              <w:t>и</w:t>
            </w:r>
            <w:r w:rsidRPr="00865FEA">
              <w:rPr>
                <w:rFonts w:ascii="Arial Black" w:eastAsia="Arial" w:hAnsi="Arial Black" w:cs="Arial"/>
                <w:smallCaps/>
                <w:color w:val="00718C"/>
                <w:sz w:val="44"/>
                <w:szCs w:val="44"/>
              </w:rPr>
              <w:br/>
              <w:t>ПРОДУКТЫ</w:t>
            </w:r>
          </w:p>
          <w:p w:rsidR="00865FEA" w:rsidRPr="006E1E9C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16"/>
                <w:szCs w:val="16"/>
              </w:rPr>
            </w:pPr>
            <w:r w:rsidRPr="006E1E9C"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  <w:br/>
            </w:r>
          </w:p>
          <w:p w:rsidR="00865FEA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  <w:r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  <w:t xml:space="preserve">ЛАБОРАТОРИИ МАКРОЭКОНОМИЧЕСКОГО ПРОГНОЗИРОВАНИЯ </w:t>
            </w:r>
          </w:p>
          <w:p w:rsidR="00865FEA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  <w:r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  <w:t>и</w:t>
            </w:r>
          </w:p>
          <w:p w:rsidR="00865FEA" w:rsidRDefault="00865FEA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  <w:r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  <w:t>СТРАТЕГИЧЕСКОГО ПЛАНИРОВАНИЯ</w:t>
            </w:r>
          </w:p>
          <w:p w:rsidR="00257D66" w:rsidRDefault="00257D66" w:rsidP="00865FEA">
            <w:pPr>
              <w:pStyle w:val="40"/>
              <w:spacing w:line="202" w:lineRule="auto"/>
              <w:jc w:val="center"/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</w:pPr>
            <w:r>
              <w:rPr>
                <w:rFonts w:ascii="Arial" w:eastAsia="Arial" w:hAnsi="Arial" w:cs="Arial"/>
                <w:smallCaps/>
                <w:color w:val="00718C"/>
                <w:sz w:val="44"/>
                <w:szCs w:val="44"/>
              </w:rPr>
              <w:t>СГЭУ</w:t>
            </w:r>
          </w:p>
          <w:p w:rsidR="0032782A" w:rsidRDefault="0032782A"/>
          <w:p w:rsidR="00F071DE" w:rsidRDefault="00F071DE"/>
          <w:p w:rsidR="00F071DE" w:rsidRDefault="00F071DE"/>
          <w:p w:rsidR="00F071DE" w:rsidRDefault="00F071DE"/>
          <w:p w:rsidR="00F071DE" w:rsidRDefault="00F071DE"/>
          <w:p w:rsidR="00F071DE" w:rsidRDefault="00F071DE"/>
          <w:p w:rsidR="00F071DE" w:rsidRDefault="00F071DE"/>
          <w:p w:rsidR="00F071DE" w:rsidRDefault="00F071DE" w:rsidP="00642DC8">
            <w:pPr>
              <w:spacing w:before="120"/>
              <w:ind w:left="459" w:firstLine="284"/>
              <w:jc w:val="both"/>
            </w:pPr>
          </w:p>
        </w:tc>
      </w:tr>
      <w:tr w:rsidR="00980110" w:rsidTr="00CE51E0">
        <w:trPr>
          <w:trHeight w:val="10482"/>
        </w:trPr>
        <w:tc>
          <w:tcPr>
            <w:tcW w:w="7479" w:type="dxa"/>
          </w:tcPr>
          <w:p w:rsidR="00980110" w:rsidRDefault="00897274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2540</wp:posOffset>
                  </wp:positionV>
                  <wp:extent cx="4321175" cy="5819775"/>
                  <wp:effectExtent l="0" t="0" r="3175" b="9525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02----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0" r="38631"/>
                          <a:stretch/>
                        </pic:blipFill>
                        <pic:spPr bwMode="auto">
                          <a:xfrm>
                            <a:off x="0" y="0"/>
                            <a:ext cx="4321175" cy="581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66B" w:rsidRPr="008C466B" w:rsidRDefault="008C466B" w:rsidP="00897274">
            <w:pPr>
              <w:jc w:val="center"/>
              <w:rPr>
                <w:rFonts w:ascii="Tahoma" w:eastAsia="Tahoma" w:hAnsi="Tahoma" w:cs="Tahoma"/>
                <w:color w:val="003449"/>
                <w:sz w:val="26"/>
                <w:szCs w:val="26"/>
              </w:rPr>
            </w:pPr>
            <w:r>
              <w:rPr>
                <w:rFonts w:ascii="Tahoma" w:eastAsia="Tahoma" w:hAnsi="Tahoma" w:cs="Tahoma"/>
                <w:color w:val="003449"/>
                <w:sz w:val="26"/>
                <w:szCs w:val="26"/>
              </w:rPr>
              <w:t>З</w:t>
            </w:r>
            <w:r w:rsidRPr="008C466B">
              <w:rPr>
                <w:rFonts w:ascii="Tahoma" w:eastAsia="Tahoma" w:hAnsi="Tahoma" w:cs="Tahoma"/>
                <w:color w:val="003449"/>
                <w:sz w:val="26"/>
                <w:szCs w:val="26"/>
              </w:rPr>
              <w:t>аведующий лабораторией макроэкономического прогнозирования и стратегического планирования</w:t>
            </w:r>
          </w:p>
          <w:p w:rsidR="00980110" w:rsidRDefault="008C466B" w:rsidP="008C466B">
            <w:pPr>
              <w:jc w:val="center"/>
            </w:pPr>
            <w:r w:rsidRPr="008C466B">
              <w:rPr>
                <w:rFonts w:ascii="Tahoma" w:eastAsia="Tahoma" w:hAnsi="Tahoma" w:cs="Tahoma"/>
                <w:color w:val="003449"/>
                <w:sz w:val="26"/>
                <w:szCs w:val="26"/>
              </w:rPr>
              <w:t>д.э.н. Цыбатов Владимир Андреевич</w:t>
            </w:r>
          </w:p>
        </w:tc>
        <w:tc>
          <w:tcPr>
            <w:tcW w:w="7307" w:type="dxa"/>
          </w:tcPr>
          <w:p w:rsidR="00980110" w:rsidRDefault="00980110" w:rsidP="00980110">
            <w:pPr>
              <w:pStyle w:val="1"/>
              <w:tabs>
                <w:tab w:val="left" w:pos="501"/>
              </w:tabs>
              <w:spacing w:after="180"/>
              <w:ind w:left="459" w:firstLine="284"/>
              <w:jc w:val="both"/>
            </w:pPr>
          </w:p>
          <w:p w:rsidR="00512040" w:rsidRDefault="00512040" w:rsidP="00593E66">
            <w:pPr>
              <w:pStyle w:val="1"/>
              <w:tabs>
                <w:tab w:val="left" w:pos="318"/>
              </w:tabs>
              <w:spacing w:after="180"/>
              <w:ind w:left="459" w:firstLine="284"/>
              <w:jc w:val="both"/>
            </w:pPr>
          </w:p>
          <w:p w:rsidR="00980110" w:rsidRDefault="00980110" w:rsidP="00593E66">
            <w:pPr>
              <w:pStyle w:val="1"/>
              <w:tabs>
                <w:tab w:val="left" w:pos="318"/>
              </w:tabs>
              <w:spacing w:after="180"/>
              <w:ind w:left="459" w:firstLine="284"/>
              <w:jc w:val="both"/>
            </w:pPr>
            <w:r>
              <w:t xml:space="preserve">Сотрудники Лаборатории работают для органов  государственной власти с 1992 года. За это время выполнено более 100 проектов, направленных на поддержку управленческих решений в сфере решения задач ситуационного прогнозирования и стратегического планирования регионального развития. </w:t>
            </w:r>
          </w:p>
          <w:p w:rsidR="00980110" w:rsidRDefault="00980110" w:rsidP="00593E66">
            <w:pPr>
              <w:tabs>
                <w:tab w:val="left" w:pos="318"/>
              </w:tabs>
              <w:ind w:left="459" w:firstLine="284"/>
              <w:jc w:val="both"/>
              <w:rPr>
                <w:rFonts w:ascii="Tahoma" w:eastAsia="Tahoma" w:hAnsi="Tahoma" w:cs="Tahoma"/>
                <w:color w:val="003449"/>
                <w:sz w:val="26"/>
                <w:szCs w:val="26"/>
              </w:rPr>
            </w:pPr>
            <w:r w:rsidRPr="00642DC8"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Разработанные </w:t>
            </w:r>
            <w:r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сотрудниками Лаборатории </w:t>
            </w:r>
            <w:r w:rsidRPr="00642DC8"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методы, модели и информационные технологии прошли успешную апробацию при формировании стратегий Алтайского и Красноярского краев, Самарской области. Основные компоненты этих технологий положены в основу создания серии автоматизированных систем и комплексов, которые установлены в ряде субъектов РФ, в частности, в правительствах Санкт-Петербурга, Республики Коми, Алтайского и Красноярского краев, Самарской области. </w:t>
            </w:r>
          </w:p>
          <w:p w:rsidR="00980110" w:rsidRDefault="00980110" w:rsidP="00593E66">
            <w:pPr>
              <w:tabs>
                <w:tab w:val="left" w:pos="318"/>
              </w:tabs>
              <w:ind w:left="459" w:firstLine="284"/>
              <w:jc w:val="both"/>
              <w:rPr>
                <w:rFonts w:ascii="Tahoma" w:eastAsia="Tahoma" w:hAnsi="Tahoma" w:cs="Tahoma"/>
                <w:color w:val="003449"/>
                <w:sz w:val="26"/>
                <w:szCs w:val="26"/>
              </w:rPr>
            </w:pPr>
          </w:p>
          <w:p w:rsidR="00980110" w:rsidRDefault="00980110" w:rsidP="00593E66">
            <w:pPr>
              <w:tabs>
                <w:tab w:val="left" w:pos="318"/>
              </w:tabs>
              <w:ind w:left="459" w:firstLine="284"/>
            </w:pPr>
            <w:r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Разработанные </w:t>
            </w:r>
            <w:r w:rsidRPr="00642DC8">
              <w:rPr>
                <w:rFonts w:ascii="Tahoma" w:eastAsia="Tahoma" w:hAnsi="Tahoma" w:cs="Tahoma"/>
                <w:color w:val="003449"/>
                <w:sz w:val="26"/>
                <w:szCs w:val="26"/>
              </w:rPr>
              <w:t>информационные технологии использовались также в проектах НИУ «Высшая школа экономики», ФГАОУ ВПУ "Северный (Арктический) федеральный университет имени М.В. Ломоносова", Балтийского федерального университета им. Э. Канта, Сибирского федерального университета и Самарского государственного экономического университета.</w:t>
            </w:r>
          </w:p>
        </w:tc>
      </w:tr>
      <w:tr w:rsidR="00865FEA" w:rsidTr="00CE51E0">
        <w:trPr>
          <w:trHeight w:val="10482"/>
        </w:trPr>
        <w:tc>
          <w:tcPr>
            <w:tcW w:w="7479" w:type="dxa"/>
          </w:tcPr>
          <w:p w:rsidR="00865FEA" w:rsidRPr="00865FEA" w:rsidRDefault="00865FEA" w:rsidP="00E20440">
            <w:pPr>
              <w:widowControl w:val="0"/>
              <w:spacing w:line="252" w:lineRule="auto"/>
              <w:ind w:right="720"/>
              <w:jc w:val="center"/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  <w:lang w:eastAsia="ru-RU" w:bidi="ru-RU"/>
              </w:rPr>
            </w:pPr>
            <w:r w:rsidRPr="00865FEA"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  <w:lang w:eastAsia="ru-RU" w:bidi="ru-RU"/>
              </w:rPr>
              <w:lastRenderedPageBreak/>
              <w:t>МАКРОЭКОНОМИЧЕСКОЕ ПРОГНОЗИРОВАНИЕ</w:t>
            </w:r>
          </w:p>
          <w:p w:rsidR="00865FEA" w:rsidRDefault="00865FEA" w:rsidP="00865FEA">
            <w:pPr>
              <w:pStyle w:val="1"/>
              <w:tabs>
                <w:tab w:val="left" w:pos="501"/>
              </w:tabs>
              <w:spacing w:after="180"/>
              <w:ind w:left="142"/>
              <w:rPr>
                <w:color w:val="B11E23"/>
              </w:rPr>
            </w:pPr>
          </w:p>
          <w:p w:rsidR="00865FEA" w:rsidRDefault="00865FEA" w:rsidP="00865FEA">
            <w:pPr>
              <w:pStyle w:val="1"/>
              <w:tabs>
                <w:tab w:val="left" w:pos="501"/>
              </w:tabs>
              <w:spacing w:after="180"/>
              <w:ind w:right="657" w:firstLine="284"/>
              <w:jc w:val="both"/>
            </w:pPr>
            <w:r w:rsidRPr="006E1E9C">
              <w:rPr>
                <w:color w:val="B11E23"/>
              </w:rPr>
              <w:t>Формирование полностью сбалансированных многовариантных прогнозов одновременно по всем показателям социально-экономического развития субъекта РФ (более 1000 индикаторов), в том числе по Форме 2п Минэкономразвития (среднесрочной и долгосрочной) с оформлением аналитического отчета</w:t>
            </w:r>
          </w:p>
          <w:p w:rsidR="002E2268" w:rsidRDefault="002E2268" w:rsidP="00865FEA">
            <w:pPr>
              <w:pStyle w:val="1"/>
              <w:tabs>
                <w:tab w:val="left" w:pos="501"/>
              </w:tabs>
              <w:spacing w:after="180"/>
              <w:ind w:firstLine="284"/>
            </w:pPr>
          </w:p>
          <w:p w:rsidR="00865FEA" w:rsidRDefault="00865FEA" w:rsidP="00865FEA">
            <w:pPr>
              <w:pStyle w:val="1"/>
              <w:tabs>
                <w:tab w:val="left" w:pos="501"/>
              </w:tabs>
              <w:spacing w:after="180"/>
              <w:ind w:firstLine="284"/>
            </w:pPr>
            <w:r>
              <w:t>Формируются прогнозно-аналитические документы по следующим тематическим направлениям: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Население и трудовые ресурсы;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Макроэкономика и ВРП;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Инвестиции и экономический рост;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Малый и средний бизнес;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Финансовые ресурсы и бюджеты;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Уровень жизни населения;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Внешнеэкономическая деятельность;</w:t>
            </w:r>
          </w:p>
          <w:p w:rsidR="00865FEA" w:rsidRDefault="00865FEA" w:rsidP="00865FEA">
            <w:pPr>
              <w:pStyle w:val="1"/>
              <w:numPr>
                <w:ilvl w:val="0"/>
                <w:numId w:val="1"/>
              </w:numPr>
              <w:tabs>
                <w:tab w:val="left" w:pos="501"/>
              </w:tabs>
              <w:spacing w:after="120"/>
              <w:ind w:firstLine="284"/>
            </w:pPr>
            <w:r>
              <w:t>Форма 2п Минэкономразвития.</w:t>
            </w:r>
          </w:p>
          <w:p w:rsidR="00865FEA" w:rsidRPr="00865FEA" w:rsidRDefault="00865FEA" w:rsidP="00865FEA">
            <w:pPr>
              <w:pStyle w:val="1"/>
              <w:tabs>
                <w:tab w:val="left" w:pos="501"/>
              </w:tabs>
              <w:spacing w:after="180"/>
              <w:ind w:firstLine="284"/>
              <w:rPr>
                <w:sz w:val="16"/>
                <w:szCs w:val="16"/>
              </w:rPr>
            </w:pPr>
          </w:p>
          <w:p w:rsidR="00865FEA" w:rsidRDefault="00865FEA" w:rsidP="00865FEA">
            <w:pPr>
              <w:pStyle w:val="1"/>
              <w:tabs>
                <w:tab w:val="left" w:pos="501"/>
              </w:tabs>
              <w:spacing w:after="180"/>
              <w:ind w:firstLine="284"/>
            </w:pPr>
            <w:r>
              <w:t>Прогнозирование проводится на основе отчетных данных, представленных Заказчиком.</w:t>
            </w:r>
          </w:p>
          <w:p w:rsidR="00865FEA" w:rsidRDefault="00865FEA" w:rsidP="002E2268">
            <w:pPr>
              <w:pStyle w:val="1"/>
              <w:tabs>
                <w:tab w:val="left" w:pos="501"/>
              </w:tabs>
              <w:spacing w:after="180"/>
              <w:ind w:firstLine="284"/>
            </w:pPr>
          </w:p>
        </w:tc>
        <w:tc>
          <w:tcPr>
            <w:tcW w:w="7307" w:type="dxa"/>
          </w:tcPr>
          <w:p w:rsidR="00865FEA" w:rsidRDefault="00865FEA" w:rsidP="002B4C45"/>
          <w:p w:rsidR="00865FEA" w:rsidRDefault="00E20440" w:rsidP="00865FEA">
            <w:pPr>
              <w:pStyle w:val="40"/>
              <w:spacing w:line="202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B2F61F" wp14:editId="2898E3FF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45720</wp:posOffset>
                  </wp:positionV>
                  <wp:extent cx="4177030" cy="2799080"/>
                  <wp:effectExtent l="0" t="0" r="0" b="127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27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FEA" w:rsidRDefault="00865FEA" w:rsidP="00865FEA">
            <w:pPr>
              <w:pStyle w:val="40"/>
              <w:spacing w:line="202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C6F744C" wp14:editId="2ACD461A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234950</wp:posOffset>
                  </wp:positionV>
                  <wp:extent cx="4109720" cy="2740025"/>
                  <wp:effectExtent l="0" t="0" r="5080" b="317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274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FEA" w:rsidTr="00CE51E0">
        <w:trPr>
          <w:trHeight w:val="10482"/>
        </w:trPr>
        <w:tc>
          <w:tcPr>
            <w:tcW w:w="7479" w:type="dxa"/>
          </w:tcPr>
          <w:p w:rsidR="00CE51E0" w:rsidRDefault="00CE51E0" w:rsidP="00CE51E0">
            <w:pPr>
              <w:pStyle w:val="1"/>
              <w:tabs>
                <w:tab w:val="left" w:pos="499"/>
              </w:tabs>
              <w:ind w:left="567" w:firstLine="284"/>
              <w:rPr>
                <w:color w:val="B11E23"/>
              </w:rPr>
            </w:pPr>
          </w:p>
          <w:p w:rsidR="002E2268" w:rsidRDefault="002E2268" w:rsidP="002C6A6F">
            <w:pPr>
              <w:pStyle w:val="40"/>
              <w:spacing w:line="252" w:lineRule="auto"/>
              <w:ind w:left="851" w:right="760"/>
              <w:jc w:val="center"/>
            </w:pPr>
          </w:p>
          <w:p w:rsidR="00CE51E0" w:rsidRDefault="00CE51E0" w:rsidP="002C6A6F">
            <w:pPr>
              <w:pStyle w:val="40"/>
              <w:spacing w:line="252" w:lineRule="auto"/>
              <w:ind w:left="851" w:right="760"/>
              <w:jc w:val="center"/>
            </w:pPr>
            <w:r>
              <w:t>СТРАТЕГИЧЕСКОЕ ЦЕЛЕПОЛАГАНИЕ</w:t>
            </w:r>
          </w:p>
          <w:p w:rsidR="00CE51E0" w:rsidRDefault="00CE51E0" w:rsidP="00CE51E0">
            <w:pPr>
              <w:pStyle w:val="1"/>
              <w:tabs>
                <w:tab w:val="left" w:pos="499"/>
              </w:tabs>
              <w:ind w:left="567" w:firstLine="284"/>
              <w:rPr>
                <w:color w:val="B11E23"/>
              </w:rPr>
            </w:pPr>
          </w:p>
          <w:p w:rsidR="00CE51E0" w:rsidRDefault="00CE51E0" w:rsidP="002C6A6F">
            <w:pPr>
              <w:pStyle w:val="1"/>
              <w:ind w:left="284" w:right="317" w:firstLine="284"/>
              <w:rPr>
                <w:color w:val="B11E23"/>
              </w:rPr>
            </w:pPr>
            <w:proofErr w:type="gramStart"/>
            <w:r>
              <w:rPr>
                <w:color w:val="B11E23"/>
              </w:rPr>
              <w:t>Стратегическое</w:t>
            </w:r>
            <w:proofErr w:type="gramEnd"/>
            <w:r>
              <w:rPr>
                <w:color w:val="B11E23"/>
              </w:rPr>
              <w:t xml:space="preserve"> целеполагание, а</w:t>
            </w:r>
            <w:r w:rsidRPr="0019493E">
              <w:rPr>
                <w:color w:val="B11E23"/>
              </w:rPr>
              <w:t>нализ сбалансированности и достижимости целевых показателей стратегий социально-экономического развития субъект</w:t>
            </w:r>
            <w:r>
              <w:rPr>
                <w:color w:val="B11E23"/>
              </w:rPr>
              <w:t>а</w:t>
            </w:r>
            <w:r w:rsidRPr="0019493E">
              <w:rPr>
                <w:color w:val="B11E23"/>
              </w:rPr>
              <w:t xml:space="preserve"> РФ </w:t>
            </w:r>
          </w:p>
          <w:p w:rsidR="00CE51E0" w:rsidRDefault="00CE51E0" w:rsidP="003F2C37">
            <w:pPr>
              <w:pStyle w:val="1"/>
              <w:tabs>
                <w:tab w:val="left" w:pos="0"/>
                <w:tab w:val="left" w:pos="7371"/>
              </w:tabs>
              <w:ind w:right="317" w:firstLine="284"/>
              <w:rPr>
                <w:color w:val="B11E23"/>
              </w:rPr>
            </w:pPr>
          </w:p>
          <w:p w:rsidR="00CE51E0" w:rsidRDefault="00CE51E0" w:rsidP="003F2C37">
            <w:pPr>
              <w:pStyle w:val="1"/>
              <w:tabs>
                <w:tab w:val="left" w:pos="0"/>
                <w:tab w:val="left" w:pos="7088"/>
              </w:tabs>
              <w:ind w:right="317" w:firstLine="284"/>
              <w:jc w:val="both"/>
            </w:pPr>
            <w:bookmarkStart w:id="1" w:name="bookmark11"/>
            <w:bookmarkEnd w:id="1"/>
            <w:r>
              <w:t xml:space="preserve">Анализ сбалансированности и достижимости целевых показателей стратегии социально-экономического развития субъекта РФ осуществляется путем проведения прогнозно-аналитических экспериментов на имитационной модели исследуемого субъекта РФ. </w:t>
            </w:r>
          </w:p>
          <w:p w:rsidR="00CE51E0" w:rsidRDefault="00CE51E0" w:rsidP="003F2C37">
            <w:pPr>
              <w:pStyle w:val="1"/>
              <w:tabs>
                <w:tab w:val="left" w:pos="0"/>
                <w:tab w:val="left" w:pos="7088"/>
              </w:tabs>
              <w:spacing w:after="200"/>
              <w:ind w:right="317" w:firstLine="284"/>
              <w:jc w:val="both"/>
            </w:pPr>
            <w:r>
              <w:t xml:space="preserve">Прогнозирование на модели проводится на основе материалов исследуемой стратегии и представляет собой конструирование будущего, сбалансированного по целям и ресурсам, на основе статистики прошлых лет и экспертного видения, представленного в виде сценариев развития, описанных в стратегии. </w:t>
            </w:r>
          </w:p>
          <w:p w:rsidR="00CE51E0" w:rsidRDefault="00CE51E0" w:rsidP="003F2C37">
            <w:pPr>
              <w:pStyle w:val="1"/>
              <w:tabs>
                <w:tab w:val="left" w:pos="0"/>
                <w:tab w:val="left" w:pos="7088"/>
              </w:tabs>
              <w:ind w:right="317" w:firstLine="284"/>
              <w:jc w:val="both"/>
            </w:pPr>
            <w:r>
              <w:t>Информационная технология использовалась при анализе стратегий развития следующих субъектов РФ:</w:t>
            </w:r>
          </w:p>
          <w:p w:rsidR="00CE51E0" w:rsidRDefault="00CE51E0" w:rsidP="003F2C37">
            <w:pPr>
              <w:pStyle w:val="1"/>
              <w:tabs>
                <w:tab w:val="left" w:pos="0"/>
                <w:tab w:val="left" w:pos="7088"/>
              </w:tabs>
              <w:spacing w:after="200"/>
              <w:ind w:right="317" w:firstLine="284"/>
              <w:jc w:val="both"/>
            </w:pPr>
            <w:proofErr w:type="gramStart"/>
            <w:r>
              <w:t>Санкт-Петербург, Красноярский край, Алтайский край, Липецкая область, Республика Чувашия, Республика Коми, Брянская область, Московская область, Саратовская область, Ростовская область, Пензенская область.</w:t>
            </w:r>
            <w:proofErr w:type="gramEnd"/>
          </w:p>
          <w:p w:rsidR="00865FEA" w:rsidRDefault="00865FEA" w:rsidP="002B4C45"/>
        </w:tc>
        <w:tc>
          <w:tcPr>
            <w:tcW w:w="7307" w:type="dxa"/>
          </w:tcPr>
          <w:p w:rsidR="00CE51E0" w:rsidRDefault="00CE51E0" w:rsidP="00CE51E0">
            <w:pPr>
              <w:pStyle w:val="40"/>
              <w:spacing w:line="252" w:lineRule="auto"/>
              <w:ind w:left="2860" w:right="760"/>
            </w:pPr>
          </w:p>
          <w:p w:rsidR="00CE51E0" w:rsidRDefault="00CE51E0" w:rsidP="00CE51E0">
            <w:pPr>
              <w:pStyle w:val="40"/>
              <w:spacing w:line="252" w:lineRule="auto"/>
              <w:ind w:left="2860" w:right="760"/>
            </w:pPr>
          </w:p>
          <w:p w:rsidR="00CE51E0" w:rsidRDefault="00CE51E0" w:rsidP="00CE51E0">
            <w:pPr>
              <w:pStyle w:val="40"/>
              <w:spacing w:line="252" w:lineRule="auto"/>
              <w:ind w:left="2860" w:right="760"/>
            </w:pPr>
          </w:p>
          <w:p w:rsidR="00CE51E0" w:rsidRDefault="00CE51E0" w:rsidP="00CE51E0">
            <w:pPr>
              <w:pStyle w:val="40"/>
              <w:spacing w:line="252" w:lineRule="auto"/>
              <w:ind w:left="2860" w:right="760"/>
            </w:pPr>
          </w:p>
          <w:p w:rsidR="00CE51E0" w:rsidRDefault="00CE51E0" w:rsidP="00CE51E0">
            <w:pPr>
              <w:pStyle w:val="40"/>
              <w:spacing w:line="252" w:lineRule="auto"/>
              <w:ind w:left="2860" w:right="760"/>
            </w:pPr>
            <w:r w:rsidRPr="00350B59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00719A8" wp14:editId="4B6FFD1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760730</wp:posOffset>
                  </wp:positionV>
                  <wp:extent cx="4326255" cy="2754630"/>
                  <wp:effectExtent l="0" t="0" r="0" b="762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51E0" w:rsidRDefault="00CE51E0" w:rsidP="00CE51E0">
            <w:pPr>
              <w:pStyle w:val="1"/>
              <w:tabs>
                <w:tab w:val="left" w:pos="499"/>
                <w:tab w:val="left" w:pos="7088"/>
              </w:tabs>
              <w:ind w:left="567" w:firstLine="284"/>
              <w:jc w:val="both"/>
            </w:pPr>
          </w:p>
          <w:p w:rsidR="00CE51E0" w:rsidRDefault="00CE51E0" w:rsidP="00CE51E0">
            <w:pPr>
              <w:pStyle w:val="1"/>
              <w:tabs>
                <w:tab w:val="left" w:pos="499"/>
                <w:tab w:val="left" w:pos="7088"/>
              </w:tabs>
              <w:ind w:left="567" w:firstLine="284"/>
              <w:jc w:val="both"/>
            </w:pPr>
          </w:p>
          <w:p w:rsidR="00CE51E0" w:rsidRDefault="00CE51E0" w:rsidP="00CE51E0">
            <w:pPr>
              <w:pStyle w:val="1"/>
              <w:tabs>
                <w:tab w:val="left" w:pos="499"/>
                <w:tab w:val="left" w:pos="7088"/>
              </w:tabs>
              <w:ind w:left="567" w:firstLine="284"/>
              <w:jc w:val="both"/>
            </w:pPr>
          </w:p>
          <w:p w:rsidR="00865FEA" w:rsidRDefault="00865FEA" w:rsidP="00CE51E0">
            <w:pPr>
              <w:pStyle w:val="1"/>
              <w:tabs>
                <w:tab w:val="left" w:pos="499"/>
                <w:tab w:val="left" w:pos="7088"/>
              </w:tabs>
              <w:ind w:left="567" w:firstLine="284"/>
              <w:jc w:val="both"/>
            </w:pPr>
          </w:p>
        </w:tc>
      </w:tr>
      <w:tr w:rsidR="00865FEA" w:rsidTr="00CE51E0">
        <w:trPr>
          <w:trHeight w:val="10482"/>
        </w:trPr>
        <w:tc>
          <w:tcPr>
            <w:tcW w:w="7479" w:type="dxa"/>
          </w:tcPr>
          <w:p w:rsidR="00BB5093" w:rsidRDefault="00BB5093" w:rsidP="002C6A6F">
            <w:pPr>
              <w:pStyle w:val="40"/>
              <w:ind w:right="459" w:firstLine="284"/>
              <w:jc w:val="center"/>
            </w:pPr>
            <w:r>
              <w:lastRenderedPageBreak/>
              <w:t>АИС «План-Прогноз»</w:t>
            </w:r>
          </w:p>
          <w:p w:rsidR="00BB5093" w:rsidRDefault="00BB5093" w:rsidP="002C6A6F">
            <w:pPr>
              <w:pStyle w:val="1"/>
              <w:tabs>
                <w:tab w:val="left" w:pos="499"/>
              </w:tabs>
              <w:ind w:left="284" w:right="459" w:firstLine="283"/>
              <w:jc w:val="both"/>
              <w:rPr>
                <w:color w:val="B11E23"/>
              </w:rPr>
            </w:pPr>
          </w:p>
          <w:p w:rsidR="00BB5093" w:rsidRDefault="00E20440" w:rsidP="00BB69A3">
            <w:pPr>
              <w:pStyle w:val="1"/>
              <w:tabs>
                <w:tab w:val="left" w:pos="499"/>
              </w:tabs>
              <w:ind w:left="284" w:right="459"/>
              <w:rPr>
                <w:color w:val="B11E23"/>
              </w:rPr>
            </w:pPr>
            <w:r w:rsidRPr="00E20440">
              <w:rPr>
                <w:color w:val="B11E23"/>
              </w:rPr>
              <w:t xml:space="preserve">Прогнозно-аналитическая система  </w:t>
            </w:r>
            <w:r w:rsidR="00E829D2">
              <w:rPr>
                <w:color w:val="B11E23"/>
              </w:rPr>
              <w:t xml:space="preserve">«План-Прогноз» </w:t>
            </w:r>
            <w:r w:rsidRPr="00E20440">
              <w:rPr>
                <w:color w:val="B11E23"/>
              </w:rPr>
              <w:t xml:space="preserve">предназначена </w:t>
            </w:r>
            <w:r w:rsidR="00BB5093" w:rsidRPr="0005629D">
              <w:rPr>
                <w:color w:val="B11E23"/>
              </w:rPr>
              <w:t>для анализа, прогнозирования и стратегического планирования развития субъекта РФ</w:t>
            </w:r>
            <w:r w:rsidR="002E2268">
              <w:rPr>
                <w:color w:val="B11E23"/>
              </w:rPr>
              <w:t xml:space="preserve">. Система </w:t>
            </w:r>
            <w:r w:rsidR="00BB5093" w:rsidRPr="0005629D">
              <w:rPr>
                <w:color w:val="B11E23"/>
              </w:rPr>
              <w:t xml:space="preserve"> помога</w:t>
            </w:r>
            <w:r w:rsidR="002E2268">
              <w:rPr>
                <w:color w:val="B11E23"/>
              </w:rPr>
              <w:t>ет</w:t>
            </w:r>
            <w:r w:rsidR="00BB5093" w:rsidRPr="0005629D">
              <w:rPr>
                <w:color w:val="B11E23"/>
              </w:rPr>
              <w:t xml:space="preserve"> сделать работу органов государственной власти  эффективнее</w:t>
            </w:r>
          </w:p>
          <w:p w:rsidR="00BB5093" w:rsidRDefault="00BB5093" w:rsidP="00BB5093">
            <w:pPr>
              <w:pStyle w:val="40"/>
              <w:tabs>
                <w:tab w:val="left" w:pos="6946"/>
              </w:tabs>
              <w:ind w:left="284" w:right="1000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BB5093" w:rsidRPr="0005629D" w:rsidRDefault="00BB5093" w:rsidP="00E91642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Система выполняет все виды прогнозно-аналитических работ и обеспечивает поддержку решения стратегических задач в рамках Федерального закона РФ от 28 июня 2014 г N 172-ФЗ "О стратегическом планировании в Российской Федерации"</w:t>
            </w:r>
            <w:r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.</w:t>
            </w:r>
          </w:p>
          <w:p w:rsidR="00BB5093" w:rsidRPr="0005629D" w:rsidRDefault="00BB5093" w:rsidP="00E91642">
            <w:pPr>
              <w:pStyle w:val="40"/>
              <w:tabs>
                <w:tab w:val="left" w:pos="6946"/>
              </w:tabs>
              <w:spacing w:before="120"/>
              <w:ind w:left="284" w:right="459" w:firstLine="284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Прогнозирование и планирование проводится на единой цифровой модели субъекта РФ. Модель основана на положениях системы национальных счетов и теории вычислимых моделей общего равновесия (</w:t>
            </w:r>
            <w:proofErr w:type="spellStart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Computable</w:t>
            </w:r>
            <w:proofErr w:type="spellEnd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general</w:t>
            </w:r>
            <w:proofErr w:type="spellEnd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equilibrium</w:t>
            </w:r>
            <w:proofErr w:type="spellEnd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(CGE) </w:t>
            </w:r>
            <w:proofErr w:type="spellStart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models</w:t>
            </w:r>
            <w:proofErr w:type="spellEnd"/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). </w:t>
            </w:r>
          </w:p>
          <w:p w:rsidR="00BB5093" w:rsidRPr="0005629D" w:rsidRDefault="00BB5093" w:rsidP="00E91642">
            <w:pPr>
              <w:pStyle w:val="40"/>
              <w:tabs>
                <w:tab w:val="left" w:pos="6946"/>
              </w:tabs>
              <w:spacing w:before="120"/>
              <w:ind w:left="284" w:right="459" w:firstLine="284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05629D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Система может использоваться для формирования долгосрочных приоритетов деятельности ОГВ в области социально-экономического развития, а также для поддержки управленческих решений, направленных на выявление и преодоление кризисных явлений в экономике. Модуль веб-отображения АИС позволяет сотрудникам органов власти в любое время получать нужную информацию о развитии субъекта РФ на своих рабочих компьютерах и мобильных устройствах</w:t>
            </w:r>
            <w:r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.</w:t>
            </w:r>
          </w:p>
          <w:p w:rsidR="00865FEA" w:rsidRDefault="00865FEA" w:rsidP="002B4C45"/>
        </w:tc>
        <w:tc>
          <w:tcPr>
            <w:tcW w:w="7307" w:type="dxa"/>
          </w:tcPr>
          <w:p w:rsidR="00BB5093" w:rsidRDefault="00BB5093" w:rsidP="00BB5093">
            <w:pPr>
              <w:pStyle w:val="40"/>
              <w:ind w:right="1000"/>
            </w:pPr>
            <w:r w:rsidRPr="00B32677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24CA0D7" wp14:editId="70C310E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40640</wp:posOffset>
                  </wp:positionV>
                  <wp:extent cx="4137025" cy="3267075"/>
                  <wp:effectExtent l="0" t="0" r="0" b="952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0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268" w:rsidRDefault="002E2268" w:rsidP="00BF3442">
            <w:pPr>
              <w:pStyle w:val="40"/>
              <w:ind w:left="318" w:right="1000" w:firstLine="283"/>
              <w:jc w:val="center"/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</w:pPr>
          </w:p>
          <w:p w:rsidR="00BB5093" w:rsidRPr="00BB5093" w:rsidRDefault="00BB5093" w:rsidP="00BF3442">
            <w:pPr>
              <w:pStyle w:val="40"/>
              <w:ind w:left="318" w:right="1000" w:firstLine="283"/>
              <w:jc w:val="center"/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  <w:t>Основные преимущества АИС</w:t>
            </w:r>
          </w:p>
          <w:p w:rsidR="00BB5093" w:rsidRPr="00BB5093" w:rsidRDefault="00BB5093" w:rsidP="00E20440">
            <w:pPr>
              <w:pStyle w:val="40"/>
              <w:spacing w:before="120"/>
              <w:ind w:left="318" w:right="-31" w:firstLine="284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автоматическая верификация, дополнение и балансировка отчетных данных</w:t>
            </w:r>
          </w:p>
          <w:p w:rsidR="00BB5093" w:rsidRPr="00BB5093" w:rsidRDefault="00BB5093" w:rsidP="00E20440">
            <w:pPr>
              <w:pStyle w:val="40"/>
              <w:ind w:left="318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полностью сбалансированный прогноз по всем показателям на всем горизонте прогнозирования;</w:t>
            </w:r>
          </w:p>
          <w:p w:rsidR="00BB5093" w:rsidRPr="00BB5093" w:rsidRDefault="00BB5093" w:rsidP="00E20440">
            <w:pPr>
              <w:pStyle w:val="40"/>
              <w:ind w:left="318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- сбалансированное и </w:t>
            </w:r>
            <w:proofErr w:type="spellStart"/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ресурсообоснованное</w:t>
            </w:r>
            <w:proofErr w:type="spellEnd"/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целеполагание;</w:t>
            </w:r>
          </w:p>
          <w:p w:rsidR="00BB5093" w:rsidRPr="00BB5093" w:rsidRDefault="00BB5093" w:rsidP="00E20440">
            <w:pPr>
              <w:pStyle w:val="40"/>
              <w:ind w:left="318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обеспечивается ко</w:t>
            </w:r>
            <w:r w:rsidR="002E2268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ллективная работа пользователей;</w:t>
            </w:r>
          </w:p>
          <w:p w:rsidR="00BB5093" w:rsidRPr="00BB5093" w:rsidRDefault="00BB5093" w:rsidP="00E20440">
            <w:pPr>
              <w:pStyle w:val="40"/>
              <w:tabs>
                <w:tab w:val="left" w:pos="6980"/>
              </w:tabs>
              <w:ind w:left="318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B5093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интегрируется с существующими региональными системами, в том числе с системой ГАС «Управление».</w:t>
            </w:r>
          </w:p>
          <w:p w:rsidR="00865FEA" w:rsidRDefault="00865FEA" w:rsidP="002E2268">
            <w:pPr>
              <w:pStyle w:val="40"/>
              <w:ind w:left="318" w:right="-31" w:firstLine="283"/>
              <w:jc w:val="both"/>
            </w:pPr>
          </w:p>
        </w:tc>
      </w:tr>
      <w:tr w:rsidR="00BF3442" w:rsidTr="00BF3442">
        <w:trPr>
          <w:trHeight w:val="10482"/>
        </w:trPr>
        <w:tc>
          <w:tcPr>
            <w:tcW w:w="7479" w:type="dxa"/>
          </w:tcPr>
          <w:p w:rsidR="00A3022B" w:rsidRDefault="00A3022B" w:rsidP="002C6A6F">
            <w:pPr>
              <w:pStyle w:val="1"/>
              <w:tabs>
                <w:tab w:val="left" w:pos="499"/>
              </w:tabs>
              <w:ind w:left="284" w:right="459"/>
              <w:jc w:val="center"/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</w:rPr>
            </w:pPr>
          </w:p>
          <w:p w:rsidR="002C6A6F" w:rsidRDefault="002C6A6F" w:rsidP="002C6A6F">
            <w:pPr>
              <w:pStyle w:val="1"/>
              <w:tabs>
                <w:tab w:val="left" w:pos="499"/>
              </w:tabs>
              <w:ind w:left="284" w:right="459"/>
              <w:jc w:val="center"/>
              <w:rPr>
                <w:color w:val="B11E23"/>
              </w:rPr>
            </w:pPr>
            <w:r w:rsidRPr="002C6A6F"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</w:rPr>
              <w:t>АИС «Энергетика»</w:t>
            </w:r>
          </w:p>
          <w:p w:rsid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</w:pPr>
          </w:p>
          <w:p w:rsidR="002C6A6F" w:rsidRDefault="00E20440" w:rsidP="002C6A6F">
            <w:pPr>
              <w:pStyle w:val="40"/>
              <w:tabs>
                <w:tab w:val="left" w:pos="6946"/>
              </w:tabs>
              <w:ind w:left="284" w:right="459" w:firstLine="283"/>
              <w:jc w:val="left"/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</w:pPr>
            <w:r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П</w:t>
            </w:r>
            <w:r w:rsidR="002C6A6F" w:rsidRPr="002C6A6F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рогнозно-аналитическая система</w:t>
            </w:r>
            <w:r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 </w:t>
            </w:r>
            <w:r w:rsidR="002C6A6F" w:rsidRPr="002C6A6F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 </w:t>
            </w:r>
            <w:r w:rsidR="00BB69A3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«Энергетика» </w:t>
            </w:r>
            <w:r w:rsidR="002C6A6F" w:rsidRPr="002C6A6F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предназначена для анализа, ситуационного прогнозирования и стратегического планирования развития топливно-энергетического комплекса (ТЭК) субъекта </w:t>
            </w:r>
            <w:r w:rsidR="002C6A6F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РФ</w:t>
            </w:r>
            <w:r w:rsidR="002C6A6F" w:rsidRPr="002C6A6F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 на основе формирования регионального топливно-энергетического баланса</w:t>
            </w:r>
          </w:p>
          <w:p w:rsid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Основные параметры системы: 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1 – информационная база  </w:t>
            </w:r>
            <w:proofErr w:type="spellStart"/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Oracle</w:t>
            </w:r>
            <w:proofErr w:type="spellEnd"/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;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2 – имитационная модель деятельности топливно-энергетического комплекса субъекта РФ;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3 – формирование отчетного и прогнозного топливно-энергетического баланса субъекта РФ;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4 – оценка и прогнозирование энергоемкости (электроемкости, теплоемкости) ВРП;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5 – мониторинг потенциальных угроз энергетической безопасности региона; </w:t>
            </w:r>
          </w:p>
          <w:p w:rsidR="002C6A6F" w:rsidRPr="002C6A6F" w:rsidRDefault="002E2268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 6</w:t>
            </w:r>
            <w:r w:rsidR="002C6A6F"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– модуль индикативного планирования для решения прямых и обратных задач</w:t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BF3442" w:rsidRDefault="002C6A6F" w:rsidP="002C6A6F">
            <w:pPr>
              <w:ind w:left="284" w:firstLine="425"/>
            </w:pPr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Прогнозирование и планирование проводится на единой цифровой модели ТЭК  региона. Модель основана на положениях системы национальных счетов и теории вычислимых моделей общего равновесия (</w:t>
            </w:r>
            <w:proofErr w:type="spellStart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Computable</w:t>
            </w:r>
            <w:proofErr w:type="spellEnd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general</w:t>
            </w:r>
            <w:proofErr w:type="spellEnd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equilibrium</w:t>
            </w:r>
            <w:proofErr w:type="spellEnd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 xml:space="preserve"> (CGE) </w:t>
            </w:r>
            <w:proofErr w:type="spellStart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models</w:t>
            </w:r>
            <w:proofErr w:type="spellEnd"/>
            <w:r w:rsidRPr="002C6A6F">
              <w:rPr>
                <w:rFonts w:ascii="Tahoma" w:eastAsia="Tahoma" w:hAnsi="Tahoma" w:cs="Tahoma"/>
                <w:color w:val="003449"/>
                <w:sz w:val="26"/>
                <w:szCs w:val="26"/>
              </w:rPr>
              <w:t>).</w:t>
            </w:r>
          </w:p>
        </w:tc>
        <w:tc>
          <w:tcPr>
            <w:tcW w:w="7307" w:type="dxa"/>
          </w:tcPr>
          <w:p w:rsid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2E2268" w:rsidRPr="002C6A6F" w:rsidRDefault="002E2268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2C6A6F" w:rsidRPr="002C6A6F" w:rsidRDefault="002C6A6F" w:rsidP="00A3022B">
            <w:pPr>
              <w:pStyle w:val="40"/>
              <w:tabs>
                <w:tab w:val="left" w:pos="6946"/>
              </w:tabs>
              <w:ind w:right="459" w:firstLine="34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73893">
              <w:rPr>
                <w:rFonts w:ascii="Arial" w:hAnsi="Arial" w:cs="Arial"/>
                <w:b w:val="0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66C3B9F" wp14:editId="0138042E">
                  <wp:extent cx="4502638" cy="2628900"/>
                  <wp:effectExtent l="0" t="0" r="0" b="0"/>
                  <wp:docPr id="378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326" cy="263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6A6F" w:rsidRPr="002C6A6F" w:rsidRDefault="002C6A6F" w:rsidP="002C6A6F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2E2268" w:rsidRDefault="002E2268" w:rsidP="00E20440">
            <w:pPr>
              <w:pStyle w:val="40"/>
              <w:tabs>
                <w:tab w:val="left" w:pos="6946"/>
                <w:tab w:val="left" w:pos="7091"/>
              </w:tabs>
              <w:ind w:left="284" w:right="-31" w:hanging="284"/>
              <w:jc w:val="center"/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</w:pPr>
          </w:p>
          <w:p w:rsidR="002C6A6F" w:rsidRPr="00E20440" w:rsidRDefault="00E20440" w:rsidP="00E20440">
            <w:pPr>
              <w:pStyle w:val="40"/>
              <w:tabs>
                <w:tab w:val="left" w:pos="6946"/>
                <w:tab w:val="left" w:pos="7091"/>
              </w:tabs>
              <w:ind w:left="284" w:right="-31" w:hanging="284"/>
              <w:jc w:val="center"/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</w:pPr>
            <w:r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  <w:t>Основные преимущества АИС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spacing w:before="120"/>
              <w:ind w:left="284" w:right="-28" w:firstLine="284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автоматическая верификация, дополнение и балансировка отчетных данных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полностью сбалансированный прогноз по всем показателям на всем горизонте прогнозирования;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- сбалансированное и </w:t>
            </w:r>
            <w:proofErr w:type="spellStart"/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ресурсообоснованное</w:t>
            </w:r>
            <w:proofErr w:type="spellEnd"/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целеполагание;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обеспечивается коллективная работа пользователей.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2C6A6F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интегрируется с существующими региональными системами, в том числе с системой ГАС «Управление».</w:t>
            </w:r>
          </w:p>
          <w:p w:rsidR="002C6A6F" w:rsidRPr="002C6A6F" w:rsidRDefault="002C6A6F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BF3442" w:rsidRPr="002C6A6F" w:rsidRDefault="00BF3442" w:rsidP="00E20440">
            <w:pPr>
              <w:pStyle w:val="40"/>
              <w:tabs>
                <w:tab w:val="left" w:pos="6946"/>
                <w:tab w:val="left" w:pos="7091"/>
              </w:tabs>
              <w:ind w:left="284" w:right="-31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</w:tc>
      </w:tr>
      <w:tr w:rsidR="00BF3442" w:rsidTr="00BB69A3">
        <w:trPr>
          <w:trHeight w:val="10206"/>
        </w:trPr>
        <w:tc>
          <w:tcPr>
            <w:tcW w:w="7479" w:type="dxa"/>
          </w:tcPr>
          <w:p w:rsidR="00E20440" w:rsidRDefault="00E20440" w:rsidP="00E20440">
            <w:pPr>
              <w:pStyle w:val="1"/>
              <w:tabs>
                <w:tab w:val="left" w:pos="499"/>
              </w:tabs>
              <w:ind w:left="284" w:right="459"/>
              <w:jc w:val="center"/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</w:rPr>
            </w:pPr>
          </w:p>
          <w:p w:rsidR="00E20440" w:rsidRDefault="00E20440" w:rsidP="00E20440">
            <w:pPr>
              <w:pStyle w:val="1"/>
              <w:tabs>
                <w:tab w:val="left" w:pos="499"/>
              </w:tabs>
              <w:ind w:left="284" w:right="459"/>
              <w:jc w:val="center"/>
              <w:rPr>
                <w:color w:val="B11E23"/>
              </w:rPr>
            </w:pPr>
            <w:r w:rsidRPr="00E20440">
              <w:rPr>
                <w:rFonts w:ascii="Verdana" w:eastAsia="Verdana" w:hAnsi="Verdana" w:cs="Verdana"/>
                <w:b/>
                <w:bCs/>
                <w:color w:val="B11E23"/>
                <w:sz w:val="32"/>
                <w:szCs w:val="32"/>
              </w:rPr>
              <w:t>Прогнозно-аналитический комплекс «Агломерация»</w:t>
            </w:r>
          </w:p>
          <w:p w:rsidR="00E20440" w:rsidRDefault="00E20440" w:rsidP="00E20440">
            <w:pPr>
              <w:pStyle w:val="40"/>
              <w:tabs>
                <w:tab w:val="left" w:pos="6946"/>
              </w:tabs>
              <w:ind w:left="284" w:right="459" w:firstLine="283"/>
              <w:jc w:val="both"/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</w:pPr>
          </w:p>
          <w:p w:rsidR="00E20440" w:rsidRDefault="00E20440" w:rsidP="00E20440">
            <w:pPr>
              <w:pStyle w:val="40"/>
              <w:tabs>
                <w:tab w:val="left" w:pos="6946"/>
              </w:tabs>
              <w:ind w:right="459" w:firstLine="426"/>
              <w:jc w:val="left"/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</w:pPr>
            <w:r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Комплекс</w:t>
            </w:r>
            <w:r w:rsidRPr="00E20440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 </w:t>
            </w:r>
            <w:r w:rsidR="00BB69A3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«Агломерация» </w:t>
            </w:r>
            <w:r w:rsidRPr="00E20440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предназначен для анализа и ситуационного прогнозирования социально-экономического развития муниципальных образовани</w:t>
            </w:r>
            <w:r w:rsidR="002E2268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>й</w:t>
            </w:r>
            <w:r w:rsidRPr="00E20440">
              <w:rPr>
                <w:rFonts w:ascii="Tahoma" w:eastAsia="Tahoma" w:hAnsi="Tahoma" w:cs="Tahoma"/>
                <w:b w:val="0"/>
                <w:bCs w:val="0"/>
                <w:sz w:val="26"/>
                <w:szCs w:val="26"/>
              </w:rPr>
              <w:t xml:space="preserve"> (МО), входящих в состав региона (субъекта РФ) или агломерации</w:t>
            </w:r>
          </w:p>
          <w:p w:rsidR="00E20440" w:rsidRDefault="00E20440" w:rsidP="00E20440">
            <w:pPr>
              <w:pStyle w:val="40"/>
              <w:tabs>
                <w:tab w:val="left" w:pos="6946"/>
              </w:tabs>
              <w:ind w:right="459" w:firstLine="426"/>
              <w:jc w:val="left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Прогнозно-аналитический комплекс позволяет: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комплексно оценивать текущее состояние всех МО, входящих в состав агломерации (региона), и рассчитать их потенциал развития в свете региональной стратегии и национальных проектов;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оценивать значения показателей национальных проектов за отчетный период для всех МО, входящих в состав агломерации (региона);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рассчитывать значения показателей национальных проектов для агломерации в целом и оценить вклад каждого МО в итоговые значения этих показателей;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- оценивать угрозы развития МО и агломерации в целом и </w:t>
            </w:r>
            <w:r w:rsidR="002E2268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формирует</w:t>
            </w: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превентивные меры для их ослабления или ликвидации;</w:t>
            </w:r>
          </w:p>
          <w:p w:rsidR="00BF3442" w:rsidRPr="00E20440" w:rsidRDefault="00E20440" w:rsidP="002E2268">
            <w:pPr>
              <w:pStyle w:val="40"/>
              <w:tabs>
                <w:tab w:val="left" w:pos="6946"/>
              </w:tabs>
              <w:ind w:right="459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- оценивать перспективы достижения целевых значений показателей национальных проектов, а также целевых значений муниципальных стратегий на горизонте 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стратегирования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для всех МО, входящих в агломерацию, с учетом ресурсных ограничений и формировать сбалансированные сценарии развития МО, учитывающ</w:t>
            </w:r>
            <w:r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ие общие ресурсы и ограничения.</w:t>
            </w:r>
          </w:p>
        </w:tc>
        <w:tc>
          <w:tcPr>
            <w:tcW w:w="7307" w:type="dxa"/>
          </w:tcPr>
          <w:p w:rsidR="002E2268" w:rsidRDefault="002E2268" w:rsidP="00E20440">
            <w:pPr>
              <w:pStyle w:val="40"/>
              <w:tabs>
                <w:tab w:val="left" w:pos="6946"/>
              </w:tabs>
              <w:ind w:left="318" w:right="-172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2E2268" w:rsidRDefault="002E2268" w:rsidP="00E20440">
            <w:pPr>
              <w:pStyle w:val="40"/>
              <w:tabs>
                <w:tab w:val="left" w:pos="6946"/>
              </w:tabs>
              <w:ind w:left="318" w:right="-172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BF093D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06B0DB0" wp14:editId="45F8D36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104775</wp:posOffset>
                  </wp:positionV>
                  <wp:extent cx="4676775" cy="1938655"/>
                  <wp:effectExtent l="0" t="0" r="9525" b="4445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right="-172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Прогнозирование и планирование проводится на единой цифровой модели агломерации (региона). Модель основана на положениях системы национальных счетов и теории вычислимых моделей общего равновесия (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Computable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general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equilibrium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 (CGE) 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models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).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  <w:t xml:space="preserve">Основные преимущества </w:t>
            </w:r>
            <w:r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  <w:t>комплекса</w:t>
            </w:r>
            <w:r w:rsidRPr="00E20440">
              <w:rPr>
                <w:rFonts w:ascii="Tahoma" w:eastAsia="Tahoma" w:hAnsi="Tahoma" w:cs="Tahoma"/>
                <w:bCs w:val="0"/>
                <w:color w:val="003449"/>
                <w:sz w:val="26"/>
                <w:szCs w:val="26"/>
              </w:rPr>
              <w:t>:</w:t>
            </w:r>
          </w:p>
          <w:p w:rsidR="00E20440" w:rsidRPr="00E20440" w:rsidRDefault="00E20440" w:rsidP="002E2268">
            <w:pPr>
              <w:pStyle w:val="40"/>
              <w:tabs>
                <w:tab w:val="left" w:pos="6946"/>
              </w:tabs>
              <w:spacing w:before="240"/>
              <w:ind w:left="318" w:firstLine="284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автоматическая верификация, дополнение и балансировка отчетных данных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полностью сбалансированный прогноз по всем показателям на всем горизонте прогнозирования;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- сбалансированное и </w:t>
            </w:r>
            <w:proofErr w:type="spellStart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ресурсообоснованное</w:t>
            </w:r>
            <w:proofErr w:type="spellEnd"/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 xml:space="preserve"> целеполагание;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обеспечивается ко</w:t>
            </w:r>
            <w:r w:rsidR="002E2268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ллективная работа пользователей;</w:t>
            </w:r>
          </w:p>
          <w:p w:rsidR="00E20440" w:rsidRPr="00E20440" w:rsidRDefault="00E20440" w:rsidP="00E20440">
            <w:pPr>
              <w:pStyle w:val="40"/>
              <w:tabs>
                <w:tab w:val="left" w:pos="6946"/>
              </w:tabs>
              <w:ind w:left="318" w:firstLine="283"/>
              <w:jc w:val="both"/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</w:pPr>
            <w:r w:rsidRPr="00E20440">
              <w:rPr>
                <w:rFonts w:ascii="Tahoma" w:eastAsia="Tahoma" w:hAnsi="Tahoma" w:cs="Tahoma"/>
                <w:b w:val="0"/>
                <w:bCs w:val="0"/>
                <w:color w:val="003449"/>
                <w:sz w:val="26"/>
                <w:szCs w:val="26"/>
              </w:rPr>
              <w:t>- интегрируется с существующими региональными системами.</w:t>
            </w:r>
          </w:p>
          <w:p w:rsidR="00BF3442" w:rsidRDefault="00BF3442" w:rsidP="002B4C45">
            <w:pPr>
              <w:pStyle w:val="40"/>
              <w:spacing w:line="202" w:lineRule="auto"/>
              <w:jc w:val="center"/>
            </w:pPr>
          </w:p>
        </w:tc>
      </w:tr>
    </w:tbl>
    <w:p w:rsidR="00EB1FAC" w:rsidRDefault="00EB1FAC" w:rsidP="00E829D2"/>
    <w:sectPr w:rsidR="00EB1FAC" w:rsidSect="0032782A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6344E"/>
    <w:multiLevelType w:val="multilevel"/>
    <w:tmpl w:val="B63EF656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3449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2A"/>
    <w:rsid w:val="00257D66"/>
    <w:rsid w:val="00272400"/>
    <w:rsid w:val="002776D9"/>
    <w:rsid w:val="002C6A6F"/>
    <w:rsid w:val="002E2268"/>
    <w:rsid w:val="0032782A"/>
    <w:rsid w:val="003F2C37"/>
    <w:rsid w:val="00512040"/>
    <w:rsid w:val="00593E66"/>
    <w:rsid w:val="00642DC8"/>
    <w:rsid w:val="00865FEA"/>
    <w:rsid w:val="00897274"/>
    <w:rsid w:val="008C466B"/>
    <w:rsid w:val="00980110"/>
    <w:rsid w:val="00A3022B"/>
    <w:rsid w:val="00A6446D"/>
    <w:rsid w:val="00BB5093"/>
    <w:rsid w:val="00BB69A3"/>
    <w:rsid w:val="00BF3442"/>
    <w:rsid w:val="00CE51E0"/>
    <w:rsid w:val="00E20440"/>
    <w:rsid w:val="00E829D2"/>
    <w:rsid w:val="00E91642"/>
    <w:rsid w:val="00EB1FAC"/>
    <w:rsid w:val="00EB643E"/>
    <w:rsid w:val="00F0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0"/>
    <w:link w:val="60"/>
    <w:rsid w:val="00865FEA"/>
    <w:rPr>
      <w:rFonts w:ascii="Century Gothic" w:eastAsia="Century Gothic" w:hAnsi="Century Gothic" w:cs="Century Gothic"/>
      <w:b/>
      <w:bCs/>
      <w:color w:val="0067AB"/>
      <w:sz w:val="20"/>
      <w:szCs w:val="20"/>
    </w:rPr>
  </w:style>
  <w:style w:type="paragraph" w:customStyle="1" w:styleId="60">
    <w:name w:val="Основной текст (6)"/>
    <w:basedOn w:val="a"/>
    <w:link w:val="6"/>
    <w:rsid w:val="00865FEA"/>
    <w:pPr>
      <w:widowControl w:val="0"/>
      <w:spacing w:after="0" w:line="240" w:lineRule="auto"/>
    </w:pPr>
    <w:rPr>
      <w:rFonts w:ascii="Century Gothic" w:eastAsia="Century Gothic" w:hAnsi="Century Gothic" w:cs="Century Gothic"/>
      <w:b/>
      <w:bCs/>
      <w:color w:val="0067AB"/>
      <w:sz w:val="20"/>
      <w:szCs w:val="20"/>
    </w:rPr>
  </w:style>
  <w:style w:type="character" w:customStyle="1" w:styleId="4">
    <w:name w:val="Основной текст (4)_"/>
    <w:basedOn w:val="a0"/>
    <w:link w:val="40"/>
    <w:rsid w:val="00865FEA"/>
    <w:rPr>
      <w:rFonts w:ascii="Verdana" w:eastAsia="Verdana" w:hAnsi="Verdana" w:cs="Verdana"/>
      <w:b/>
      <w:bCs/>
      <w:color w:val="B11E23"/>
      <w:sz w:val="32"/>
      <w:szCs w:val="32"/>
    </w:rPr>
  </w:style>
  <w:style w:type="paragraph" w:customStyle="1" w:styleId="40">
    <w:name w:val="Основной текст (4)"/>
    <w:basedOn w:val="a"/>
    <w:link w:val="4"/>
    <w:rsid w:val="00865FEA"/>
    <w:pPr>
      <w:widowControl w:val="0"/>
      <w:spacing w:after="0" w:line="240" w:lineRule="auto"/>
      <w:jc w:val="right"/>
    </w:pPr>
    <w:rPr>
      <w:rFonts w:ascii="Verdana" w:eastAsia="Verdana" w:hAnsi="Verdana" w:cs="Verdana"/>
      <w:b/>
      <w:bCs/>
      <w:color w:val="B11E23"/>
      <w:sz w:val="32"/>
      <w:szCs w:val="32"/>
    </w:rPr>
  </w:style>
  <w:style w:type="character" w:customStyle="1" w:styleId="a4">
    <w:name w:val="Основной текст_"/>
    <w:basedOn w:val="a0"/>
    <w:link w:val="1"/>
    <w:rsid w:val="00865FEA"/>
    <w:rPr>
      <w:rFonts w:ascii="Tahoma" w:eastAsia="Tahoma" w:hAnsi="Tahoma" w:cs="Tahoma"/>
      <w:color w:val="003449"/>
      <w:sz w:val="26"/>
      <w:szCs w:val="26"/>
    </w:rPr>
  </w:style>
  <w:style w:type="paragraph" w:customStyle="1" w:styleId="1">
    <w:name w:val="Основной текст1"/>
    <w:basedOn w:val="a"/>
    <w:link w:val="a4"/>
    <w:rsid w:val="00865FEA"/>
    <w:pPr>
      <w:widowControl w:val="0"/>
      <w:spacing w:line="240" w:lineRule="auto"/>
    </w:pPr>
    <w:rPr>
      <w:rFonts w:ascii="Tahoma" w:eastAsia="Tahoma" w:hAnsi="Tahoma" w:cs="Tahoma"/>
      <w:color w:val="003449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C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A6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93E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0"/>
    <w:link w:val="60"/>
    <w:rsid w:val="00865FEA"/>
    <w:rPr>
      <w:rFonts w:ascii="Century Gothic" w:eastAsia="Century Gothic" w:hAnsi="Century Gothic" w:cs="Century Gothic"/>
      <w:b/>
      <w:bCs/>
      <w:color w:val="0067AB"/>
      <w:sz w:val="20"/>
      <w:szCs w:val="20"/>
    </w:rPr>
  </w:style>
  <w:style w:type="paragraph" w:customStyle="1" w:styleId="60">
    <w:name w:val="Основной текст (6)"/>
    <w:basedOn w:val="a"/>
    <w:link w:val="6"/>
    <w:rsid w:val="00865FEA"/>
    <w:pPr>
      <w:widowControl w:val="0"/>
      <w:spacing w:after="0" w:line="240" w:lineRule="auto"/>
    </w:pPr>
    <w:rPr>
      <w:rFonts w:ascii="Century Gothic" w:eastAsia="Century Gothic" w:hAnsi="Century Gothic" w:cs="Century Gothic"/>
      <w:b/>
      <w:bCs/>
      <w:color w:val="0067AB"/>
      <w:sz w:val="20"/>
      <w:szCs w:val="20"/>
    </w:rPr>
  </w:style>
  <w:style w:type="character" w:customStyle="1" w:styleId="4">
    <w:name w:val="Основной текст (4)_"/>
    <w:basedOn w:val="a0"/>
    <w:link w:val="40"/>
    <w:rsid w:val="00865FEA"/>
    <w:rPr>
      <w:rFonts w:ascii="Verdana" w:eastAsia="Verdana" w:hAnsi="Verdana" w:cs="Verdana"/>
      <w:b/>
      <w:bCs/>
      <w:color w:val="B11E23"/>
      <w:sz w:val="32"/>
      <w:szCs w:val="32"/>
    </w:rPr>
  </w:style>
  <w:style w:type="paragraph" w:customStyle="1" w:styleId="40">
    <w:name w:val="Основной текст (4)"/>
    <w:basedOn w:val="a"/>
    <w:link w:val="4"/>
    <w:rsid w:val="00865FEA"/>
    <w:pPr>
      <w:widowControl w:val="0"/>
      <w:spacing w:after="0" w:line="240" w:lineRule="auto"/>
      <w:jc w:val="right"/>
    </w:pPr>
    <w:rPr>
      <w:rFonts w:ascii="Verdana" w:eastAsia="Verdana" w:hAnsi="Verdana" w:cs="Verdana"/>
      <w:b/>
      <w:bCs/>
      <w:color w:val="B11E23"/>
      <w:sz w:val="32"/>
      <w:szCs w:val="32"/>
    </w:rPr>
  </w:style>
  <w:style w:type="character" w:customStyle="1" w:styleId="a4">
    <w:name w:val="Основной текст_"/>
    <w:basedOn w:val="a0"/>
    <w:link w:val="1"/>
    <w:rsid w:val="00865FEA"/>
    <w:rPr>
      <w:rFonts w:ascii="Tahoma" w:eastAsia="Tahoma" w:hAnsi="Tahoma" w:cs="Tahoma"/>
      <w:color w:val="003449"/>
      <w:sz w:val="26"/>
      <w:szCs w:val="26"/>
    </w:rPr>
  </w:style>
  <w:style w:type="paragraph" w:customStyle="1" w:styleId="1">
    <w:name w:val="Основной текст1"/>
    <w:basedOn w:val="a"/>
    <w:link w:val="a4"/>
    <w:rsid w:val="00865FEA"/>
    <w:pPr>
      <w:widowControl w:val="0"/>
      <w:spacing w:line="240" w:lineRule="auto"/>
    </w:pPr>
    <w:rPr>
      <w:rFonts w:ascii="Tahoma" w:eastAsia="Tahoma" w:hAnsi="Tahoma" w:cs="Tahoma"/>
      <w:color w:val="003449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C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A6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93E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p@lenta.ru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hyperlink" Target="mailto:tva82@yandex.ru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C169D-9C96-4794-8C18-D6381B534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2020-09-22T12:13:00Z</dcterms:created>
  <dcterms:modified xsi:type="dcterms:W3CDTF">2020-09-22T12:13:00Z</dcterms:modified>
</cp:coreProperties>
</file>