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5D" w:rsidRDefault="0078095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8095D" w:rsidRDefault="0078095D">
      <w:pPr>
        <w:widowControl w:val="0"/>
        <w:autoSpaceDE w:val="0"/>
        <w:autoSpaceDN w:val="0"/>
        <w:adjustRightInd w:val="0"/>
        <w:spacing w:after="0" w:line="240" w:lineRule="auto"/>
        <w:jc w:val="both"/>
        <w:outlineLvl w:val="0"/>
        <w:rPr>
          <w:rFonts w:ascii="Calibri" w:hAnsi="Calibri" w:cs="Calibri"/>
        </w:rPr>
      </w:pPr>
    </w:p>
    <w:p w:rsidR="0078095D" w:rsidRDefault="0078095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21 апреля 2015 г. N 36960</w:t>
      </w:r>
    </w:p>
    <w:p w:rsidR="0078095D" w:rsidRDefault="007809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8095D" w:rsidRDefault="0078095D">
      <w:pPr>
        <w:widowControl w:val="0"/>
        <w:autoSpaceDE w:val="0"/>
        <w:autoSpaceDN w:val="0"/>
        <w:adjustRightInd w:val="0"/>
        <w:spacing w:after="0" w:line="240" w:lineRule="auto"/>
        <w:jc w:val="center"/>
        <w:rPr>
          <w:rFonts w:ascii="Calibri" w:hAnsi="Calibri" w:cs="Calibri"/>
          <w:b/>
          <w:bCs/>
        </w:rPr>
      </w:pPr>
    </w:p>
    <w:p w:rsidR="0078095D" w:rsidRDefault="007809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8095D" w:rsidRDefault="007809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марта 2015 г. N 323</w:t>
      </w:r>
    </w:p>
    <w:p w:rsidR="0078095D" w:rsidRDefault="0078095D">
      <w:pPr>
        <w:widowControl w:val="0"/>
        <w:autoSpaceDE w:val="0"/>
        <w:autoSpaceDN w:val="0"/>
        <w:adjustRightInd w:val="0"/>
        <w:spacing w:after="0" w:line="240" w:lineRule="auto"/>
        <w:jc w:val="center"/>
        <w:rPr>
          <w:rFonts w:ascii="Calibri" w:hAnsi="Calibri" w:cs="Calibri"/>
          <w:b/>
          <w:bCs/>
        </w:rPr>
      </w:pPr>
    </w:p>
    <w:p w:rsidR="0078095D" w:rsidRDefault="007809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78095D" w:rsidRDefault="007809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78095D" w:rsidRDefault="007809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38.04.06</w:t>
      </w:r>
    </w:p>
    <w:p w:rsidR="0078095D" w:rsidRDefault="007809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ТОРГОВОЕ ДЕЛО (УРОВЕНЬ МАГИСТРАТУРЫ)</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38.04.06 Торговое дело (уровень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78095D" w:rsidRDefault="0078095D">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18 ноября 2009 г. N 628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100700 Торговое дело (квалификация (степень) "магистр")" (зарегистрирован Министерством юстиции Российской Федерации 16 декабря 2009 г., регистрационный N 15655);</w:t>
      </w:r>
    </w:p>
    <w:p w:rsidR="0078095D" w:rsidRDefault="0078095D">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пункт 81</w:t>
        </w:r>
      </w:hyperlink>
      <w:r>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8095D" w:rsidRDefault="0078095D">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8095D" w:rsidRDefault="0078095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8095D" w:rsidRDefault="0078095D">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8095D" w:rsidRDefault="0078095D">
      <w:pPr>
        <w:widowControl w:val="0"/>
        <w:autoSpaceDE w:val="0"/>
        <w:autoSpaceDN w:val="0"/>
        <w:adjustRightInd w:val="0"/>
        <w:spacing w:after="0" w:line="240" w:lineRule="auto"/>
        <w:jc w:val="right"/>
        <w:rPr>
          <w:rFonts w:ascii="Calibri" w:hAnsi="Calibri" w:cs="Calibri"/>
        </w:rPr>
      </w:pPr>
      <w:r>
        <w:rPr>
          <w:rFonts w:ascii="Calibri" w:hAnsi="Calibri" w:cs="Calibri"/>
        </w:rPr>
        <w:t>от 30 марта 2015 г. N 323</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lastRenderedPageBreak/>
        <w:t>ФЕДЕРАЛЬНЫЙ ГОСУДАРСТВЕННЫЙ ОБРАЗОВАТЕЛЬНЫЙ СТАНДАРТ</w:t>
      </w:r>
    </w:p>
    <w:p w:rsidR="0078095D" w:rsidRDefault="007809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78095D" w:rsidRDefault="0078095D">
      <w:pPr>
        <w:widowControl w:val="0"/>
        <w:autoSpaceDE w:val="0"/>
        <w:autoSpaceDN w:val="0"/>
        <w:adjustRightInd w:val="0"/>
        <w:spacing w:after="0" w:line="240" w:lineRule="auto"/>
        <w:jc w:val="center"/>
        <w:rPr>
          <w:rFonts w:ascii="Calibri" w:hAnsi="Calibri" w:cs="Calibri"/>
          <w:b/>
          <w:bCs/>
        </w:rPr>
      </w:pPr>
    </w:p>
    <w:p w:rsidR="0078095D" w:rsidRDefault="007809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78095D" w:rsidRDefault="007809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МАГИСТРАТУРА</w:t>
      </w:r>
    </w:p>
    <w:p w:rsidR="0078095D" w:rsidRDefault="0078095D">
      <w:pPr>
        <w:widowControl w:val="0"/>
        <w:autoSpaceDE w:val="0"/>
        <w:autoSpaceDN w:val="0"/>
        <w:adjustRightInd w:val="0"/>
        <w:spacing w:after="0" w:line="240" w:lineRule="auto"/>
        <w:jc w:val="center"/>
        <w:rPr>
          <w:rFonts w:ascii="Calibri" w:hAnsi="Calibri" w:cs="Calibri"/>
          <w:b/>
          <w:bCs/>
        </w:rPr>
      </w:pPr>
    </w:p>
    <w:p w:rsidR="0078095D" w:rsidRDefault="007809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78095D" w:rsidRDefault="007809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38.04.06 ТОРГОВОЕ ДЕЛО</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ОБЛАСТЬ ПРИМЕНЕНИЯ</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38.04.06 Торговое дело (далее соответственно - программа магистратуры, направление подготовки).</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II. ИСПОЛЬЗУЕМЫЕ СОКРАЩЕНИЯ</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общекультурные компетенции;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center"/>
        <w:outlineLvl w:val="1"/>
        <w:rPr>
          <w:rFonts w:ascii="Calibri" w:hAnsi="Calibri" w:cs="Calibri"/>
        </w:rPr>
      </w:pPr>
      <w:bookmarkStart w:id="5" w:name="Par56"/>
      <w:bookmarkEnd w:id="5"/>
      <w:r>
        <w:rPr>
          <w:rFonts w:ascii="Calibri" w:hAnsi="Calibri" w:cs="Calibri"/>
        </w:rPr>
        <w:t>III. ХАРАКТЕРИСТИКА НАПРАВЛЕНИЯ ПОДГОТОВКИ</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магистратуры в организации осуществляется в очной и очно-заочной формах обучения.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очно-заочной форме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Конкретный срок получения образования и объем программы магистратуры, реализуемый </w:t>
      </w:r>
      <w:r>
        <w:rPr>
          <w:rFonts w:ascii="Calibri" w:hAnsi="Calibri" w:cs="Calibri"/>
        </w:rPr>
        <w:lastRenderedPageBreak/>
        <w:t>за один учебный год, в очно-заочной форме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магистратуры организация вправе применять электронное обучение и дистанционные образовательные технологии.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магистратуры возможна с использованием сетевой формы.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center"/>
        <w:outlineLvl w:val="1"/>
        <w:rPr>
          <w:rFonts w:ascii="Calibri" w:hAnsi="Calibri" w:cs="Calibri"/>
        </w:rPr>
      </w:pPr>
      <w:bookmarkStart w:id="6" w:name="Par71"/>
      <w:bookmarkEnd w:id="6"/>
      <w:r>
        <w:rPr>
          <w:rFonts w:ascii="Calibri" w:hAnsi="Calibri" w:cs="Calibri"/>
        </w:rPr>
        <w:t>IV. ХАРАКТЕРИСТИКА ПРОФЕССИОНАЛЬНОЙ ДЕЯТЕЛЬНОСТИ</w:t>
      </w:r>
    </w:p>
    <w:p w:rsidR="0078095D" w:rsidRDefault="0078095D">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МАГИСТРАТУРЫ</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магистратуры, включает организацию, управление и проектирование процессов в области коммерческой деятельности, маркетинга, торговой рекламы, логистики в торговле, товароведения и экспертизы товаров, материально-технического снабжения и сбыта, торгово-посреднической деятельности.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магистратуры, являются: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потребительского и производственно-технического назначения;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торговому обслуживанию покупателей;</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товароведные, логистические, торгово-технологические и маркетинговые процессы;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выявляемые и формируемые потребности;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рекламы;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и средства испытания и контроля качества товаров;</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научно-исследовательские процессы, образовательные средства и методы.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торгово-технологическая;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экспертная;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торгово-технологическая деятельность:</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инноваций в области профессиональной деятельности (коммерческой, или маркетинговой, или рекламной, или логистической, или товароведной), анализ и оценка их экономической эффективности;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оценка рисков и их последствий в профессиональной деятельности (коммерческой, или маркетинговой, или рекламной, или логистической, или товароведной);</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инновационных систем закупки и продажи товаров, торгового обслуживания покупателей;</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оценка эффективности инновационных торгово-технологических, или маркетинговых, или логистических, или рекламных технологий;</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стратегический анализ проблем организации (предприятия) и выбор оптимальных вариантов их решения;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бизнес-планированием;</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оценка эффективности инновационных бизнес-проектов организации (предприятия);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тактики и стратегии организации (предприятия), прогнозирование и оценка их оптимальности;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бизнесом на рынке товаров и услуг, анализ и оценка бизнес-среды организации (предприятия);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и принятие решений в области коммерции, или маркетинга, или логистики, или рекламы, или товароведения; оценка их эффективности;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управление товарной политикой организации (предприятия);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оценка и прогнозирование результатов профессиональной деятельности (коммерческой, или маркетинговой, или рекламной, или логистической, или товароведной);</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рекламной деятельности, создание и управление брендами;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оптимизация внутренней и внешней логистики торгового предприятия;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научных исследований в определенной профессиональной деятельности;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оценка результатов научных исследований;</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прогнозирование тенденций и оценка изменений конъюнктуры рынков;</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моделирование и оценка бизнес-технологий;</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потребностей и оценка степени их удовлетворенности;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состояния и динамики показателей качества товаров и услуг с использованием современных методов и средств исследований;</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прогрессивных направлений развития профессиональной деятельности (маркетинговой, или коммерческой, или рекламной, или логистической, или товароведной, или экспертной);</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анализ, систематизация и обобщение научной информации;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деятельность:</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разработка и реализация информационного и технологического обеспечения профессиональной деятельности (коммерческой, или маркетинговой, или рекламной, или логистической, или товароведной);</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идей, проектирование и разработка новых товаров и услуг, форм и средств рекламы;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и проектирование ассортимента товаров;</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и обеспечение прогнозируемой и реальной конкурентоспособности товаров (в том числе и услуг) и организаций (предприятий), ее обеспечение;</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разработка бренд-технологий;</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стратегии развития логистики организации;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экспертная деятельность:</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объектов экспертизы и оснований для ее проведения;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и рациональное использование средств и методов экспертизы;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товароведных экспертиз;</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деятельность:</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преподавание дисциплин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учебно-методических материалов.</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center"/>
        <w:outlineLvl w:val="1"/>
        <w:rPr>
          <w:rFonts w:ascii="Calibri" w:hAnsi="Calibri" w:cs="Calibri"/>
        </w:rPr>
      </w:pPr>
      <w:bookmarkStart w:id="7" w:name="Par135"/>
      <w:bookmarkEnd w:id="7"/>
      <w:r>
        <w:rPr>
          <w:rFonts w:ascii="Calibri" w:hAnsi="Calibri" w:cs="Calibri"/>
        </w:rPr>
        <w:t>V. ТРЕБОВАНИЯ К РЕЗУЛЬТАТАМ ОСВОЕНИЯ ПРОГРАММЫ МАГИСТРАТУРЫ</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магистратуры, должен обладать следующими общекультурными компетенциями: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абстрактному мышлению, анализу, синтезу (ОК-1);</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действовать в нестандартных ситуациях, нести социальную и этическую ответственность за принятые решения (ОК-2);</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саморазвитию, самореализации, использованию творческого потенциала (ОК-3);</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совершенствовать и развивать свой интеллектуальный и общекультурный уровень (ОК-4);</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(ОК-5);</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инновационных областях, непосредственно не связанных со сферой деятельности, расширять и углублять свое научное мировоззрение (ОК-6);</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адаптироваться к новым ситуациям, переоценке накопленного опыта, анализу своих возможностей (ОК-7);</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критически резюмировать информацию, проявлять инициативу, в том числе в ситуациях риска (ОК-8);</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самостоятельной работе с использованием знаний, умений и навыков, полученных на предшествующих уровнях образования; способность быть мобильным на рынке труда и подготовленным к продолжению образования в сфере дополнительного и послевузовского образования (ОК-9).</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магистратуры, должен обладать следующими общепрофессиональными компетенциями: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осуществлять поиск и выбор инноваций, анализировать и оценивать экономическую эффективность профессиональной деятельности (коммерческой, или маркетинговой, или рекламной, или логистической, или товароведной) (ОПК-3);</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выявлять и оценивать риски в профессиональной деятельности (коммерческой, или маркетинговой, или рекламной, или логистической, или товароведной) (ОПК-4).</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торгово-технологическая деятельность:</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выбирать инновационные системы закупок и продаж товаров (ПК-1);</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разрабатывать и оценивать эффективность инновационных технологий профессиональной деятельности (коммерческой, или маркетинговой, или рекламной, или логической, или товароведной) (ПК-2);</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анализировать технологический процесс как объект управления, </w:t>
      </w:r>
      <w:r>
        <w:rPr>
          <w:rFonts w:ascii="Calibri" w:hAnsi="Calibri" w:cs="Calibri"/>
        </w:rPr>
        <w:lastRenderedPageBreak/>
        <w:t>организовывать работу персонала, находить и принимать управленческие решения в области профессиональной деятельности, систематизировать и обобщать информацию по формированию и использованию ресурсов предприятия (ПК-3);</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анализу и оценке бизнес-среды организации (предприятия), эффективности ее хозяйственной деятельности, способность к разработке стратегии, контролю за ее реализацией и оценке эффективности путем аудита профессиональной деятельности (коммерческой, или маркетинговой, или рекламной, или логистической, или товароведной) (ПК-4);</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исследованию, анализу, прогнозированию и моделированию тенденций изменения конъюнктуры рынка, бизнес-технологий, результатов профессиональной деятельности (коммерческой, или маркетинговой, или рекламной, или логистической, или товароведной) (ПК-5);</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исследованию, прогнозированию, моделированию и оценке конъюнктуры рынка и бизнес-технологий с использованием научных методов (ПК-6);</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исследованию прогрессивных направлений развития профессиональной деятельности в области коммерции, или маркетинга, или рекламы, или логистики, или товароведения, или экспертизы (ПК-7);</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обрабатывать, интегрировать и представлять результаты научно-исследовательских работ (ПК-8);</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деятельность:</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проектированию и реализации информационного и технологического обеспечения профессиональной деятельности (ПК-9);</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поиску инновационных идей при проектировании, разработке, экспертизе и рекламе новых товаров и услуг, к оценке прогнозируемой и реальной конкурентоспособности товаров и организаций, ее обеспечению, к прогнозированию и проектированию ассортимента товаров, готовность к проектированию и разработке бренд-технологий (ПК-10);</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экспертная деятельность:</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определять объекты и основания проведения экспертизы и обосновывать ее необходимость, готовность выбирать и рационально использовать средства и методы экспертизы в области профессиональной деятельности, организовывать и проводить ее (ПК-11);</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деятельность:</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организовывать и проводить образовательную деятельность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том числе с применением инновационных технологий (ПК-12).</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center"/>
        <w:outlineLvl w:val="1"/>
        <w:rPr>
          <w:rFonts w:ascii="Calibri" w:hAnsi="Calibri" w:cs="Calibri"/>
        </w:rPr>
      </w:pPr>
      <w:bookmarkStart w:id="8" w:name="Par176"/>
      <w:bookmarkEnd w:id="8"/>
      <w:r>
        <w:rPr>
          <w:rFonts w:ascii="Calibri" w:hAnsi="Calibri" w:cs="Calibri"/>
        </w:rPr>
        <w:t>VI. ТРЕБОВАНИЯ К СТРУКТУРЕ ПРОГРАММЫ МАГИСТРАТУРЫ</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магистратуры состоит из следующих блоков:</w:t>
      </w:r>
    </w:p>
    <w:p w:rsidR="0078095D" w:rsidRDefault="0078095D">
      <w:pPr>
        <w:widowControl w:val="0"/>
        <w:autoSpaceDE w:val="0"/>
        <w:autoSpaceDN w:val="0"/>
        <w:adjustRightInd w:val="0"/>
        <w:spacing w:after="0" w:line="240" w:lineRule="auto"/>
        <w:ind w:firstLine="540"/>
        <w:jc w:val="both"/>
        <w:rPr>
          <w:rFonts w:ascii="Calibri" w:hAnsi="Calibri" w:cs="Calibri"/>
        </w:rPr>
      </w:pPr>
      <w:hyperlink w:anchor="Par192"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8095D" w:rsidRDefault="0078095D">
      <w:pPr>
        <w:widowControl w:val="0"/>
        <w:autoSpaceDE w:val="0"/>
        <w:autoSpaceDN w:val="0"/>
        <w:adjustRightInd w:val="0"/>
        <w:spacing w:after="0" w:line="240" w:lineRule="auto"/>
        <w:ind w:firstLine="540"/>
        <w:jc w:val="both"/>
        <w:rPr>
          <w:rFonts w:ascii="Calibri" w:hAnsi="Calibri" w:cs="Calibri"/>
        </w:rPr>
      </w:pPr>
      <w:hyperlink w:anchor="Par199" w:history="1">
        <w:r>
          <w:rPr>
            <w:rFonts w:ascii="Calibri" w:hAnsi="Calibri" w:cs="Calibri"/>
            <w:color w:val="0000FF"/>
          </w:rPr>
          <w:t>Блок 2</w:t>
        </w:r>
      </w:hyperlink>
      <w:r>
        <w:rPr>
          <w:rFonts w:ascii="Calibri" w:hAnsi="Calibri" w:cs="Calibri"/>
        </w:rPr>
        <w:t xml:space="preserve"> "Практики, в том числе научно-исследовательская работа (НИР)", который в полном объеме относится к вариативной части программы.</w:t>
      </w:r>
    </w:p>
    <w:p w:rsidR="0078095D" w:rsidRDefault="0078095D">
      <w:pPr>
        <w:widowControl w:val="0"/>
        <w:autoSpaceDE w:val="0"/>
        <w:autoSpaceDN w:val="0"/>
        <w:adjustRightInd w:val="0"/>
        <w:spacing w:after="0" w:line="240" w:lineRule="auto"/>
        <w:ind w:firstLine="540"/>
        <w:jc w:val="both"/>
        <w:rPr>
          <w:rFonts w:ascii="Calibri" w:hAnsi="Calibri" w:cs="Calibri"/>
        </w:rPr>
      </w:pPr>
      <w:hyperlink w:anchor="Par204"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Подпункт 5.2.1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center"/>
        <w:outlineLvl w:val="2"/>
        <w:rPr>
          <w:rFonts w:ascii="Calibri" w:hAnsi="Calibri" w:cs="Calibri"/>
        </w:rPr>
      </w:pPr>
      <w:bookmarkStart w:id="9" w:name="Par186"/>
      <w:bookmarkEnd w:id="9"/>
      <w:r>
        <w:rPr>
          <w:rFonts w:ascii="Calibri" w:hAnsi="Calibri" w:cs="Calibri"/>
        </w:rPr>
        <w:t>Структура программы магистратуры</w:t>
      </w:r>
    </w:p>
    <w:p w:rsidR="0078095D" w:rsidRDefault="0078095D">
      <w:pPr>
        <w:widowControl w:val="0"/>
        <w:autoSpaceDE w:val="0"/>
        <w:autoSpaceDN w:val="0"/>
        <w:adjustRightInd w:val="0"/>
        <w:spacing w:after="0" w:line="240" w:lineRule="auto"/>
        <w:jc w:val="center"/>
        <w:outlineLvl w:val="2"/>
        <w:rPr>
          <w:rFonts w:ascii="Calibri" w:hAnsi="Calibri" w:cs="Calibri"/>
        </w:rPr>
        <w:sectPr w:rsidR="0078095D" w:rsidSect="000876C3">
          <w:pgSz w:w="11906" w:h="16838"/>
          <w:pgMar w:top="1134" w:right="850" w:bottom="1134" w:left="1701" w:header="708" w:footer="708" w:gutter="0"/>
          <w:cols w:space="708"/>
          <w:docGrid w:linePitch="360"/>
        </w:sectPr>
      </w:pP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78095D" w:rsidRDefault="0078095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507"/>
        <w:gridCol w:w="5873"/>
        <w:gridCol w:w="2400"/>
      </w:tblGrid>
      <w:tr w:rsidR="0078095D">
        <w:tc>
          <w:tcPr>
            <w:tcW w:w="7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магистратуры</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магистратуры в з.е.</w:t>
            </w:r>
          </w:p>
        </w:tc>
      </w:tr>
      <w:tr w:rsidR="0078095D">
        <w:tc>
          <w:tcPr>
            <w:tcW w:w="15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rPr>
                <w:rFonts w:ascii="Calibri" w:hAnsi="Calibri" w:cs="Calibri"/>
              </w:rPr>
            </w:pPr>
            <w:bookmarkStart w:id="10" w:name="Par192"/>
            <w:bookmarkEnd w:id="10"/>
            <w:r>
              <w:rPr>
                <w:rFonts w:ascii="Calibri" w:hAnsi="Calibri" w:cs="Calibri"/>
              </w:rPr>
              <w:t>Блок 1</w:t>
            </w:r>
          </w:p>
        </w:tc>
        <w:tc>
          <w:tcPr>
            <w:tcW w:w="5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rPr>
                <w:rFonts w:ascii="Calibri" w:hAnsi="Calibri" w:cs="Calibri"/>
              </w:rPr>
            </w:pPr>
            <w:r>
              <w:rPr>
                <w:rFonts w:ascii="Calibri" w:hAnsi="Calibri" w:cs="Calibri"/>
              </w:rPr>
              <w:t>Образовательные модули (дисциплины)</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jc w:val="center"/>
              <w:rPr>
                <w:rFonts w:ascii="Calibri" w:hAnsi="Calibri" w:cs="Calibri"/>
              </w:rPr>
            </w:pPr>
            <w:r>
              <w:rPr>
                <w:rFonts w:ascii="Calibri" w:hAnsi="Calibri" w:cs="Calibri"/>
              </w:rPr>
              <w:t>57 - 63</w:t>
            </w:r>
          </w:p>
        </w:tc>
      </w:tr>
      <w:tr w:rsidR="0078095D">
        <w:tc>
          <w:tcPr>
            <w:tcW w:w="15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jc w:val="both"/>
              <w:rPr>
                <w:rFonts w:ascii="Calibri" w:hAnsi="Calibri" w:cs="Calibri"/>
              </w:rPr>
            </w:pPr>
          </w:p>
        </w:tc>
        <w:tc>
          <w:tcPr>
            <w:tcW w:w="5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jc w:val="center"/>
              <w:rPr>
                <w:rFonts w:ascii="Calibri" w:hAnsi="Calibri" w:cs="Calibri"/>
              </w:rPr>
            </w:pPr>
            <w:r>
              <w:rPr>
                <w:rFonts w:ascii="Calibri" w:hAnsi="Calibri" w:cs="Calibri"/>
              </w:rPr>
              <w:t>18 - 24</w:t>
            </w:r>
          </w:p>
        </w:tc>
      </w:tr>
      <w:tr w:rsidR="0078095D">
        <w:tc>
          <w:tcPr>
            <w:tcW w:w="15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jc w:val="both"/>
              <w:rPr>
                <w:rFonts w:ascii="Calibri" w:hAnsi="Calibri" w:cs="Calibri"/>
              </w:rPr>
            </w:pPr>
          </w:p>
        </w:tc>
        <w:tc>
          <w:tcPr>
            <w:tcW w:w="5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rPr>
                <w:rFonts w:ascii="Calibri" w:hAnsi="Calibri" w:cs="Calibri"/>
              </w:rPr>
            </w:pPr>
            <w:bookmarkStart w:id="11" w:name="Par197"/>
            <w:bookmarkEnd w:id="11"/>
            <w:r>
              <w:rPr>
                <w:rFonts w:ascii="Calibri" w:hAnsi="Calibri" w:cs="Calibri"/>
              </w:rPr>
              <w:t>Вариативная часть</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78095D">
        <w:tc>
          <w:tcPr>
            <w:tcW w:w="15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rPr>
                <w:rFonts w:ascii="Calibri" w:hAnsi="Calibri" w:cs="Calibri"/>
              </w:rPr>
            </w:pPr>
            <w:bookmarkStart w:id="12" w:name="Par199"/>
            <w:bookmarkEnd w:id="12"/>
            <w:r>
              <w:rPr>
                <w:rFonts w:ascii="Calibri" w:hAnsi="Calibri" w:cs="Calibri"/>
              </w:rPr>
              <w:t>Блок 2</w:t>
            </w:r>
          </w:p>
        </w:tc>
        <w:tc>
          <w:tcPr>
            <w:tcW w:w="5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rPr>
                <w:rFonts w:ascii="Calibri" w:hAnsi="Calibri" w:cs="Calibri"/>
              </w:rPr>
            </w:pPr>
            <w:r>
              <w:rPr>
                <w:rFonts w:ascii="Calibri" w:hAnsi="Calibri" w:cs="Calibri"/>
              </w:rPr>
              <w:t>Практики и научно-исследовательская работа (НИР)</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jc w:val="center"/>
              <w:rPr>
                <w:rFonts w:ascii="Calibri" w:hAnsi="Calibri" w:cs="Calibri"/>
              </w:rPr>
            </w:pPr>
            <w:r>
              <w:rPr>
                <w:rFonts w:ascii="Calibri" w:hAnsi="Calibri" w:cs="Calibri"/>
              </w:rPr>
              <w:t>48 - 57</w:t>
            </w:r>
          </w:p>
        </w:tc>
      </w:tr>
      <w:tr w:rsidR="0078095D">
        <w:tc>
          <w:tcPr>
            <w:tcW w:w="15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jc w:val="both"/>
              <w:rPr>
                <w:rFonts w:ascii="Calibri" w:hAnsi="Calibri" w:cs="Calibri"/>
              </w:rPr>
            </w:pPr>
          </w:p>
        </w:tc>
        <w:tc>
          <w:tcPr>
            <w:tcW w:w="5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rPr>
                <w:rFonts w:ascii="Calibri" w:hAnsi="Calibri" w:cs="Calibri"/>
              </w:rPr>
            </w:pPr>
            <w:bookmarkStart w:id="13" w:name="Par202"/>
            <w:bookmarkEnd w:id="13"/>
            <w:r>
              <w:rPr>
                <w:rFonts w:ascii="Calibri" w:hAnsi="Calibri" w:cs="Calibri"/>
              </w:rPr>
              <w:t>Вариативная часть</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jc w:val="center"/>
              <w:rPr>
                <w:rFonts w:ascii="Calibri" w:hAnsi="Calibri" w:cs="Calibri"/>
              </w:rPr>
            </w:pPr>
            <w:r>
              <w:rPr>
                <w:rFonts w:ascii="Calibri" w:hAnsi="Calibri" w:cs="Calibri"/>
              </w:rPr>
              <w:t>48 - 57</w:t>
            </w:r>
          </w:p>
        </w:tc>
      </w:tr>
      <w:tr w:rsidR="0078095D">
        <w:tc>
          <w:tcPr>
            <w:tcW w:w="15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rPr>
                <w:rFonts w:ascii="Calibri" w:hAnsi="Calibri" w:cs="Calibri"/>
              </w:rPr>
            </w:pPr>
            <w:bookmarkStart w:id="14" w:name="Par204"/>
            <w:bookmarkEnd w:id="14"/>
            <w:r>
              <w:rPr>
                <w:rFonts w:ascii="Calibri" w:hAnsi="Calibri" w:cs="Calibri"/>
              </w:rPr>
              <w:t>Блок 3</w:t>
            </w:r>
          </w:p>
        </w:tc>
        <w:tc>
          <w:tcPr>
            <w:tcW w:w="5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78095D">
        <w:tc>
          <w:tcPr>
            <w:tcW w:w="15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jc w:val="both"/>
              <w:rPr>
                <w:rFonts w:ascii="Calibri" w:hAnsi="Calibri" w:cs="Calibri"/>
              </w:rPr>
            </w:pPr>
          </w:p>
        </w:tc>
        <w:tc>
          <w:tcPr>
            <w:tcW w:w="5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78095D">
        <w:tc>
          <w:tcPr>
            <w:tcW w:w="7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магистратуры</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95D" w:rsidRDefault="0078095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78095D" w:rsidRDefault="0078095D">
      <w:pPr>
        <w:widowControl w:val="0"/>
        <w:autoSpaceDE w:val="0"/>
        <w:autoSpaceDN w:val="0"/>
        <w:adjustRightInd w:val="0"/>
        <w:spacing w:after="0" w:line="240" w:lineRule="auto"/>
        <w:jc w:val="both"/>
        <w:rPr>
          <w:rFonts w:ascii="Calibri" w:hAnsi="Calibri" w:cs="Calibri"/>
        </w:rPr>
        <w:sectPr w:rsidR="0078095D">
          <w:pgSz w:w="16838" w:h="11905" w:orient="landscape"/>
          <w:pgMar w:top="1701" w:right="1134" w:bottom="850" w:left="1134" w:header="720" w:footer="720" w:gutter="0"/>
          <w:cols w:space="720"/>
          <w:noEndnote/>
        </w:sectPr>
      </w:pP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w:t>
      </w:r>
      <w:hyperlink w:anchor="Par197" w:history="1">
        <w:r>
          <w:rPr>
            <w:rFonts w:ascii="Calibri" w:hAnsi="Calibri" w:cs="Calibri"/>
            <w:color w:val="0000FF"/>
          </w:rPr>
          <w:t>части</w:t>
        </w:r>
      </w:hyperlink>
      <w:r>
        <w:rPr>
          <w:rFonts w:ascii="Calibri" w:hAnsi="Calibri" w:cs="Calibri"/>
        </w:rPr>
        <w:t xml:space="preserve"> Блока 1 "Дисциплины (модули)" и </w:t>
      </w:r>
      <w:hyperlink w:anchor="Par202" w:history="1">
        <w:r>
          <w:rPr>
            <w:rFonts w:ascii="Calibri" w:hAnsi="Calibri" w:cs="Calibri"/>
            <w:color w:val="0000FF"/>
          </w:rPr>
          <w:t>Блока 2</w:t>
        </w:r>
      </w:hyperlink>
      <w:r>
        <w:rPr>
          <w:rFonts w:ascii="Calibri" w:hAnsi="Calibri" w:cs="Calibri"/>
        </w:rP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w:t>
      </w:r>
      <w:hyperlink w:anchor="Par199" w:history="1">
        <w:r>
          <w:rPr>
            <w:rFonts w:ascii="Calibri" w:hAnsi="Calibri" w:cs="Calibri"/>
            <w:color w:val="0000FF"/>
          </w:rPr>
          <w:t>Блок 2</w:t>
        </w:r>
      </w:hyperlink>
      <w:r>
        <w:rPr>
          <w:rFonts w:ascii="Calibri" w:hAnsi="Calibri" w:cs="Calibri"/>
        </w:rPr>
        <w:t xml:space="preserve"> "Практики, в том числе научно-исследовательская работа (НИР)" входят учебная и производственная, в том числе преддипломная, практики.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учебной практики: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первичных профессиональных умений и навыков.</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учебной практики: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производственной практики: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профессиональных умений и опыта профессиональной деятельности (в том числе технологическая практика);</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НИР.</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практики: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Преддипломная практика проводится для выполнения выпускной квалификационной работы и является обязательной.</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иные типы практик дополнительно к установленным настоящим ФГОС ВО.</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и (или) производственная практики могут проводиться в структурных подразделениях организации.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204"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w:t>
      </w:r>
      <w:hyperlink w:anchor="Par197" w:history="1">
        <w:r>
          <w:rPr>
            <w:rFonts w:ascii="Calibri" w:hAnsi="Calibri" w:cs="Calibri"/>
            <w:color w:val="0000FF"/>
          </w:rPr>
          <w:t>части</w:t>
        </w:r>
      </w:hyperlink>
      <w:r>
        <w:rPr>
          <w:rFonts w:ascii="Calibri" w:hAnsi="Calibri" w:cs="Calibri"/>
        </w:rPr>
        <w:t xml:space="preserve"> Блока 1 "Дисциплины (модули)".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Количество часов, отведенных на занятия лекционного типа, в целом по </w:t>
      </w:r>
      <w:hyperlink w:anchor="Par192"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20 процентов от общего количества часов аудиторных занятий, отведенных на реализацию этого </w:t>
      </w:r>
      <w:hyperlink w:anchor="Par192" w:history="1">
        <w:r>
          <w:rPr>
            <w:rFonts w:ascii="Calibri" w:hAnsi="Calibri" w:cs="Calibri"/>
            <w:color w:val="0000FF"/>
          </w:rPr>
          <w:t>Блока</w:t>
        </w:r>
      </w:hyperlink>
      <w:r>
        <w:rPr>
          <w:rFonts w:ascii="Calibri" w:hAnsi="Calibri" w:cs="Calibri"/>
        </w:rPr>
        <w:t>.</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center"/>
        <w:outlineLvl w:val="1"/>
        <w:rPr>
          <w:rFonts w:ascii="Calibri" w:hAnsi="Calibri" w:cs="Calibri"/>
        </w:rPr>
      </w:pPr>
      <w:bookmarkStart w:id="15" w:name="Par233"/>
      <w:bookmarkEnd w:id="15"/>
      <w:r>
        <w:rPr>
          <w:rFonts w:ascii="Calibri" w:hAnsi="Calibri" w:cs="Calibri"/>
        </w:rPr>
        <w:t>VII. ТРЕБОВАНИЯ К УСЛОВИЯМ РЕАЛИЗАЦИИ</w:t>
      </w:r>
    </w:p>
    <w:p w:rsidR="0078095D" w:rsidRDefault="0078095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МАГИСТРАТУРЫ</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ind w:firstLine="540"/>
        <w:jc w:val="both"/>
        <w:outlineLvl w:val="2"/>
        <w:rPr>
          <w:rFonts w:ascii="Calibri" w:hAnsi="Calibri" w:cs="Calibri"/>
        </w:rPr>
      </w:pPr>
      <w:bookmarkStart w:id="16" w:name="Par236"/>
      <w:bookmarkEnd w:id="16"/>
      <w:r>
        <w:rPr>
          <w:rFonts w:ascii="Calibri" w:hAnsi="Calibri" w:cs="Calibri"/>
        </w:rPr>
        <w:t>7.1. Общесистемные требования к реализации программы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0"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2"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w:t>
      </w:r>
      <w:r>
        <w:rPr>
          <w:rFonts w:ascii="Calibri" w:hAnsi="Calibri" w:cs="Calibri"/>
        </w:rPr>
        <w:lastRenderedPageBreak/>
        <w:t>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ind w:firstLine="540"/>
        <w:jc w:val="both"/>
        <w:outlineLvl w:val="2"/>
        <w:rPr>
          <w:rFonts w:ascii="Calibri" w:hAnsi="Calibri" w:cs="Calibri"/>
        </w:rPr>
      </w:pPr>
      <w:bookmarkStart w:id="17" w:name="Par258"/>
      <w:bookmarkEnd w:id="17"/>
      <w:r>
        <w:rPr>
          <w:rFonts w:ascii="Calibri" w:hAnsi="Calibri" w:cs="Calibri"/>
        </w:rPr>
        <w:t>7.2. Требования к кадровым условиям реализации программы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процентов для программы академической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процентов для программы прикладной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для программы академической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для программы прикладной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ind w:firstLine="540"/>
        <w:jc w:val="both"/>
        <w:outlineLvl w:val="2"/>
        <w:rPr>
          <w:rFonts w:ascii="Calibri" w:hAnsi="Calibri" w:cs="Calibri"/>
        </w:rPr>
      </w:pPr>
      <w:bookmarkStart w:id="18" w:name="Par269"/>
      <w:bookmarkEnd w:id="18"/>
      <w:r>
        <w:rPr>
          <w:rFonts w:ascii="Calibri" w:hAnsi="Calibri" w:cs="Calibri"/>
        </w:rPr>
        <w:lastRenderedPageBreak/>
        <w:t>7.3. Требования к материально-техническому и учебно-методическому обеспечению программ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ind w:firstLine="540"/>
        <w:jc w:val="both"/>
        <w:outlineLvl w:val="2"/>
        <w:rPr>
          <w:rFonts w:ascii="Calibri" w:hAnsi="Calibri" w:cs="Calibri"/>
        </w:rPr>
      </w:pPr>
      <w:bookmarkStart w:id="19" w:name="Par281"/>
      <w:bookmarkEnd w:id="19"/>
      <w:r>
        <w:rPr>
          <w:rFonts w:ascii="Calibri" w:hAnsi="Calibri" w:cs="Calibri"/>
        </w:rPr>
        <w:t>7.4. Требования к финансовым условиям реализации программ магистратуры.</w:t>
      </w:r>
    </w:p>
    <w:p w:rsidR="0078095D" w:rsidRDefault="00780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w:t>
      </w:r>
      <w:r>
        <w:rPr>
          <w:rFonts w:ascii="Calibri" w:hAnsi="Calibri" w:cs="Calibri"/>
        </w:rPr>
        <w:lastRenderedPageBreak/>
        <w:t>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autoSpaceDE w:val="0"/>
        <w:autoSpaceDN w:val="0"/>
        <w:adjustRightInd w:val="0"/>
        <w:spacing w:after="0" w:line="240" w:lineRule="auto"/>
        <w:jc w:val="both"/>
        <w:rPr>
          <w:rFonts w:ascii="Calibri" w:hAnsi="Calibri" w:cs="Calibri"/>
        </w:rPr>
      </w:pPr>
    </w:p>
    <w:p w:rsidR="0078095D" w:rsidRDefault="007809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3498" w:rsidRDefault="005D3498"/>
    <w:sectPr w:rsidR="005D349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78095D"/>
    <w:rsid w:val="005D3498"/>
    <w:rsid w:val="00780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52236036C6CE4F37EEB46240FFE069FB1F4ECAA97C8A4FE619FA9E298EBF3EE5AA4ABD119D40A1EZEJ" TargetMode="External"/><Relationship Id="rId13" Type="http://schemas.openxmlformats.org/officeDocument/2006/relationships/hyperlink" Target="consultantplus://offline/ref=12E52236036C6CE4F37EEB46240FFE069FB3FCEFA499C8A4FE619FA9E298EBF3EE5AA4ABD118D60D1EZBJ" TargetMode="External"/><Relationship Id="rId3" Type="http://schemas.openxmlformats.org/officeDocument/2006/relationships/webSettings" Target="webSettings.xml"/><Relationship Id="rId7" Type="http://schemas.openxmlformats.org/officeDocument/2006/relationships/hyperlink" Target="consultantplus://offline/ref=12E52236036C6CE4F37EEB46240FFE069FB7FAE8A094C8A4FE619FA9E219Z8J" TargetMode="External"/><Relationship Id="rId12" Type="http://schemas.openxmlformats.org/officeDocument/2006/relationships/hyperlink" Target="consultantplus://offline/ref=12E52236036C6CE4F37EEB46240FFE069FB7FEEEA397C8A4FE619FA9E298EBF3EE5AA4ABD118D60C1EZ4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2E52236036C6CE4F37EEB46240FFE069FB0F4ECA296C8A4FE619FA9E298EBF3EE5AA4ABD118D6081EZFJ" TargetMode="External"/><Relationship Id="rId11" Type="http://schemas.openxmlformats.org/officeDocument/2006/relationships/hyperlink" Target="consultantplus://offline/ref=12E52236036C6CE4F37EEB46240FFE069FB0FAEAA790C8A4FE619FA9E219Z8J" TargetMode="External"/><Relationship Id="rId5" Type="http://schemas.openxmlformats.org/officeDocument/2006/relationships/hyperlink" Target="consultantplus://offline/ref=12E52236036C6CE4F37EEB46240FFE069FB0F9E8A698C8A4FE619FA9E298EBF3EE5AA4ABD118D60A1EZCJ" TargetMode="External"/><Relationship Id="rId15" Type="http://schemas.openxmlformats.org/officeDocument/2006/relationships/fontTable" Target="fontTable.xml"/><Relationship Id="rId10" Type="http://schemas.openxmlformats.org/officeDocument/2006/relationships/hyperlink" Target="consultantplus://offline/ref=12E52236036C6CE4F37EEB46240FFE069FB1FDE8AA92C8A4FE619FA9E219Z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E52236036C6CE4F37EEB46240FFE069FB0F9E8A698C8A4FE619FA9E298EBF3EE5AA4ABD118D60E1EZCJ" TargetMode="External"/><Relationship Id="rId14" Type="http://schemas.openxmlformats.org/officeDocument/2006/relationships/hyperlink" Target="consultantplus://offline/ref=12E52236036C6CE4F37EEB46240FFE069FB3FEEBA291C8A4FE619FA9E298EBF3EE5AA4ABD118D60D1EZ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5435</Words>
  <Characters>30982</Characters>
  <Application>Microsoft Office Word</Application>
  <DocSecurity>0</DocSecurity>
  <Lines>258</Lines>
  <Paragraphs>72</Paragraphs>
  <ScaleCrop>false</ScaleCrop>
  <Company/>
  <LinksUpToDate>false</LinksUpToDate>
  <CharactersWithSpaces>36345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MironovaT.V</dc:creator>
  <cp:keywords/>
  <dc:description/>
  <cp:lastModifiedBy>MironovaT.V</cp:lastModifiedBy>
  <cp:revision>1</cp:revision>
  <dcterms:created xsi:type="dcterms:W3CDTF">2015-05-28T09:25:00Z</dcterms:created>
  <dcterms:modified xsi:type="dcterms:W3CDTF">2015-05-28T09:27:00Z</dcterms:modified>
</cp:coreProperties>
</file>