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autoSpaceDE w:val="false"/>
        <w:jc w:val="end"/>
        <w:rPr/>
      </w:pPr>
      <w:r>
        <w:rPr/>
        <w:t>Утвержден решением Правления</w:t>
      </w:r>
    </w:p>
    <w:p>
      <w:pPr>
        <w:pStyle w:val="Normal"/>
        <w:widowControl w:val="false"/>
        <w:autoSpaceDE w:val="false"/>
        <w:jc w:val="end"/>
        <w:rPr/>
      </w:pPr>
      <w:r>
        <w:rPr/>
        <w:t>Фонда управления целевым капиталом ФГБОУ ВО СГЭУ</w:t>
      </w:r>
    </w:p>
    <w:p>
      <w:pPr>
        <w:pStyle w:val="Normal"/>
        <w:widowControl w:val="false"/>
        <w:autoSpaceDE w:val="false"/>
        <w:jc w:val="end"/>
        <w:rPr/>
      </w:pPr>
      <w:r>
        <w:rPr/>
        <w:t>Протокол N 1/26 от "24" марта 2026 г.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jc w:val="center"/>
        <w:rPr/>
      </w:pPr>
      <w:r>
        <w:rPr/>
        <w:t>ОТЧЕТ</w:t>
      </w:r>
    </w:p>
    <w:p>
      <w:pPr>
        <w:pStyle w:val="Normal"/>
        <w:widowControl w:val="false"/>
        <w:autoSpaceDE w:val="false"/>
        <w:jc w:val="center"/>
        <w:rPr/>
      </w:pPr>
      <w:r>
        <w:rPr/>
        <w:t>о формировании целевого капитала и об использовании,</w:t>
      </w:r>
    </w:p>
    <w:p>
      <w:pPr>
        <w:pStyle w:val="Normal"/>
        <w:widowControl w:val="false"/>
        <w:autoSpaceDE w:val="false"/>
        <w:jc w:val="center"/>
        <w:rPr/>
      </w:pPr>
      <w:r>
        <w:rPr/>
        <w:t>о распределении дохода от целевого капитала</w:t>
      </w:r>
    </w:p>
    <w:p>
      <w:pPr>
        <w:pStyle w:val="Normal"/>
        <w:widowControl w:val="false"/>
        <w:autoSpaceDE w:val="false"/>
        <w:jc w:val="center"/>
        <w:rPr/>
      </w:pPr>
      <w:r>
        <w:rPr/>
        <w:t>за 2025 год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1"/>
        </w:numPr>
        <w:autoSpaceDE w:val="false"/>
        <w:jc w:val="center"/>
        <w:rPr>
          <w:b/>
        </w:rPr>
      </w:pPr>
      <w:r>
        <w:rPr>
          <w:b/>
        </w:rPr>
        <w:t>Общие сведения об организации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Фонд управления целевым капиталом ФГБОУ ВО СГЭУ (далее - Фонд) создан         29 февраля 2012 года (запись в ЕГРЮЛ о государственной регистрации при создании внесена 6 марта 2012 года на основании решения о государственной регистрации). Свидетельство о государственной регистрации некоммерческой организации выдано        11 марта 2012 года.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В качестве учредителя Фонда выступил: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Фомин Евгений Пименович.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Реквизиты Фонда: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Полное наименование: Фонд управления целевым капиталом ФГБОУ ВО «СГЭУ»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Сокращенное наименование: Фонд ФГБОУ ВО «СГЭУ».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Адрес местонахождения: 443090, г. Самара, ул. Советской Армии, д. 141.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ОГРН 1126300001673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ИНН 6318990199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КПП 631801001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Сведения о расчетном счете: 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р/сч. 40701810654400000447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корр/сч. 30101810200000000607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БИК 043601607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ПАО Сбербанк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Директор Фонда: Поздышева Ольга Николаевна.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2. Сведения о цели сформированного целевого капитала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Формирование целевого капитала и использование дохода от целевого капитала осуществляются в пользу ФГБОУ ВО «СГЭУ» (ФГБОУ ВО «СГЭУ») в целях использования в сфере образования, науки, культуры, физической культуры и спорта (за исключением профессионального спорта), искусства, архивного дела, социальной помощи (поддержки), оказания гражданам бесплатной юридической помощи и осуществления их правового просвещения.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>
          <w:color w:val="000000"/>
        </w:rPr>
        <w:t xml:space="preserve">Фонд в рамках ведения своей основной деятельности руководствуется  </w:t>
      </w:r>
      <w:hyperlink r:id="rId2">
        <w:r>
          <w:rPr>
            <w:rStyle w:val="Hyperlink"/>
            <w:color w:val="000000"/>
            <w:u w:val="none"/>
          </w:rPr>
          <w:t>Конституцией</w:t>
        </w:r>
      </w:hyperlink>
      <w:r>
        <w:rPr>
          <w:color w:val="000000"/>
        </w:rPr>
        <w:t xml:space="preserve"> РФ, Гражданским </w:t>
      </w:r>
      <w:hyperlink r:id="rId3">
        <w:r>
          <w:rPr>
            <w:rStyle w:val="Hyperlink"/>
            <w:color w:val="000000"/>
            <w:u w:val="none"/>
          </w:rPr>
          <w:t>кодексом</w:t>
        </w:r>
      </w:hyperlink>
      <w:r>
        <w:rPr>
          <w:color w:val="000000"/>
        </w:rPr>
        <w:t xml:space="preserve"> РФ, положениями Федеральных законов </w:t>
      </w:r>
      <w:hyperlink r:id="rId4">
        <w:r>
          <w:rPr>
            <w:rStyle w:val="Hyperlink"/>
            <w:color w:val="000000"/>
            <w:u w:val="none"/>
          </w:rPr>
          <w:t>"О некоммерческих организациях"</w:t>
        </w:r>
      </w:hyperlink>
      <w:r>
        <w:rPr>
          <w:color w:val="000000"/>
        </w:rPr>
        <w:t xml:space="preserve">, </w:t>
      </w:r>
      <w:hyperlink r:id="rId5">
        <w:r>
          <w:rPr>
            <w:rStyle w:val="Hyperlink"/>
            <w:color w:val="000000"/>
            <w:u w:val="none"/>
          </w:rPr>
          <w:t>"Об общественных объединениях"</w:t>
        </w:r>
      </w:hyperlink>
      <w:r>
        <w:rPr>
          <w:color w:val="000000"/>
        </w:rPr>
        <w:t>, "</w:t>
      </w:r>
      <w:hyperlink r:id="rId6">
        <w:r>
          <w:rPr>
            <w:rStyle w:val="Hyperlink"/>
            <w:color w:val="000000"/>
            <w:u w:val="none"/>
          </w:rPr>
          <w:t>О благотворительной деятельности</w:t>
        </w:r>
      </w:hyperlink>
      <w:r>
        <w:rPr>
          <w:color w:val="000000"/>
        </w:rPr>
        <w:t xml:space="preserve"> и благотворительных организациях", "</w:t>
      </w:r>
      <w:hyperlink r:id="rId7">
        <w:r>
          <w:rPr>
            <w:rStyle w:val="Hyperlink"/>
            <w:color w:val="000000"/>
            <w:u w:val="none"/>
          </w:rPr>
          <w:t>О порядке формирования и использования</w:t>
        </w:r>
      </w:hyperlink>
      <w:r>
        <w:rPr>
          <w:color w:val="000000"/>
        </w:rPr>
        <w:t xml:space="preserve"> целевого капитала некоммерческих организаций", а также Уставом Фонда</w:t>
      </w:r>
      <w:r>
        <w:rPr/>
        <w:t>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Получателями дохода от целевого капитала являются: ФГАОУ ВО «Самарский государственный экономический университет».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3. Сведения о создании Попечительского совета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В соответствии с </w:t>
      </w:r>
      <w:r>
        <w:rPr>
          <w:color w:val="000000"/>
        </w:rPr>
        <w:t xml:space="preserve">Федеральным </w:t>
      </w:r>
      <w:hyperlink r:id="rId8">
        <w:r>
          <w:rPr>
            <w:rStyle w:val="Hyperlink"/>
            <w:color w:val="000000"/>
            <w:u w:val="none"/>
          </w:rPr>
          <w:t>законом</w:t>
        </w:r>
      </w:hyperlink>
      <w:r>
        <w:rPr>
          <w:color w:val="000000"/>
        </w:rPr>
        <w:t xml:space="preserve"> N 275-ФЗ от 30 декабря 2006 года                "О порядке формирования и использования целевого капитала некоммерческих организаций" в специализированной организации</w:t>
      </w:r>
      <w:r>
        <w:rPr/>
        <w:t xml:space="preserve"> функции совета по использованию целевого капитала осуществляет Попечительский совет.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Дата формирования: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Попечительский совет утвержден Правлением Фонда 12.04.2023 г., протокол N 3/23.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Состав Попечительского совета: Кандрашина Елена Александровна - председатель, Некрасов Вадим Владиславович.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4. Сведения об открытии отдельного банковского счета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Для осуществления расчетов, связанных с получением денежных средств на формирование целевого капитала, передачей денежных средств, составляющих целевой капитал, в доверительное управление управляющей компании, а также с использованием, распределением дохода от целевого капитала, открыт отдельный банковский счет </w:t>
      </w:r>
    </w:p>
    <w:p>
      <w:pPr>
        <w:pStyle w:val="Normal"/>
        <w:widowControl w:val="false"/>
        <w:autoSpaceDE w:val="false"/>
        <w:jc w:val="both"/>
        <w:rPr>
          <w:bCs/>
        </w:rPr>
      </w:pPr>
      <w:r>
        <w:rPr>
          <w:bCs/>
        </w:rPr>
        <w:t xml:space="preserve">в ПАО Сбербанк </w:t>
      </w:r>
    </w:p>
    <w:p>
      <w:pPr>
        <w:pStyle w:val="Normal"/>
        <w:widowControl w:val="false"/>
        <w:autoSpaceDE w:val="false"/>
        <w:jc w:val="both"/>
        <w:rPr/>
      </w:pPr>
      <w:r>
        <w:rPr>
          <w:bCs/>
        </w:rPr>
        <w:t>р/сч. 40701810654400000447.</w:t>
      </w:r>
    </w:p>
    <w:p>
      <w:pPr>
        <w:pStyle w:val="Normal"/>
        <w:widowControl w:val="false"/>
        <w:autoSpaceDE w:val="false"/>
        <w:ind w:firstLine="540" w:end="0"/>
        <w:jc w:val="both"/>
        <w:rPr>
          <w:bCs/>
        </w:rPr>
      </w:pPr>
      <w:r>
        <w:rPr>
          <w:bCs/>
        </w:rPr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5. Сведения об управляющей компании, действующей на</w:t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основании договора доверительного управления имуществом,</w:t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составляющим целевой капитал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Полное наименование управляющей компании: АО «СОЛИД Менеджмент»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Генеральный директор: Быкова Ю.Ю.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Место нахождения: 123007, г. Москва, Хорошевское шоссе, д. 32А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Тел.: 8 (495) 228-70-15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ИНН 7706150949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КПП 771401001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Лицензия на осуществление деятельности по управлению ценными бумагами N 177-11768-001000, выдана 13.11.2008 г. ФСФР России.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N 21-000-1-00035, выдана 27.12.1999 г. ФКЦБ России.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Договор доверительного управления имуществом, составляющим целевой капитал, N ДУ-3925 от 01.11.2013 г. 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jc w:val="center"/>
        <w:rPr>
          <w:b/>
        </w:rPr>
      </w:pPr>
      <w:r>
        <w:rPr>
          <w:b/>
        </w:rPr>
        <w:t>6. Деятельность Фонда в 2025 году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В 2025 году Фондом проводилась работа по нескольким направлениям деятельности, а именно: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1. Проведение организационных мероприятий, связанных с деятельностью Фонда: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- документальное сопровождение проводимых операций;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2. Проведение мероприятий, направленных на привлечение средств в Фонд: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- распространение информации о Фонде (освещение деятельности Фонда, выступление Председателя Правления на собраниях, конференциях, совещаниях);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- формирование базы данных по всем источникам финансирования и возможным благотворителям;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- проведение постоянной работы с потенциальными жертвователями (направление писем, информирование о состоянии Фонда).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За отчетный год состоялось 4 заседания Правления, на которых были приняты решения об утверждении годового отчета и годового бухгалтерского баланса Фонда, об утверждении годового отчета и годовой бухгалтерской отчетности о формировании целевого капитала, об использовании, о распределении дохода от целевого капитала.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Всего в 2025 году на формирование и пополнение целевого капитала Фонда пожертвований не поступало.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Основными жертвователями Фонда являются: ОАО Банк АВБ г. Тольятти.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Средства сформированного целевого капитала Фонда в полном объеме находятся в доверительном управлении в соответствии с ранее выбранной инвестиционной стратегией.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Стоимость имущества Фонда, находящегося в доверительном управлении управляющей компании по Договору доверительного управления, на 31.12.2025 г. составила 7 192 тысячи рублей.</w:t>
      </w:r>
      <w:r>
        <w:rPr>
          <w:b/>
          <w:bCs/>
        </w:rPr>
      </w:r>
      <w:r>
        <w:rPr>
          <w:rFonts w:cs="Arial" w:ascii="Arial" w:hAnsi="Arial"/>
          <w:sz w:val="23"/>
          <w:szCs w:val="23"/>
          <w:shd w:fill="FFFFFF" w:val="clear"/>
        </w:rPr>
      </w: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Доход от доверительного управления имуществом, составляющим целевой капитал, за 2025 год составил 677 тысяч рублей.</w:t>
      </w:r>
      <w:r>
        <w:rPr>
          <w:b/>
          <w:bCs/>
        </w:rPr>
      </w: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Вознаграждение управляющей компании по условиям Договора составило </w:t>
      </w:r>
      <w:r>
        <w:rPr>
          <w:b/>
          <w:bCs/>
        </w:rPr>
        <w:t>37,3</w:t>
      </w:r>
      <w:r>
        <w:rPr>
          <w:b/>
          <w:bCs/>
          <w:color w:val="FF0000"/>
        </w:rPr>
        <w:t xml:space="preserve"> </w:t>
      </w:r>
      <w:r>
        <w:rPr/>
        <w:t>тысячи рублей.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Неиспользованный доход от доверительного управления имуществом, составляющим целевой капитал, в сумме 677 тысяч рублей направлен на пополнение целевого капитала Фонда.</w:t>
      </w:r>
      <w:r>
        <w:rPr>
          <w:b/>
          <w:bCs/>
        </w:rPr>
      </w:r>
      <w:r>
        <w:rPr>
          <w:b/>
          <w:bCs/>
          <w:color w:val="FF0000"/>
        </w:rPr>
      </w: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center"/>
        <w:rPr/>
      </w:pPr>
      <w:r>
        <w:rPr>
          <w:b/>
        </w:rPr>
        <w:t>Информация о доходах и расходах Фонда в 2025 году: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  <w:t>Доходы и поступления: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Добровольные взносы учредителей, добровольные пожертвования: </w:t>
      </w:r>
      <w:r>
        <w:rPr>
          <w:b/>
          <w:bCs/>
        </w:rPr>
        <w:t>0</w:t>
      </w:r>
      <w:r>
        <w:rPr/>
        <w:t xml:space="preserve"> 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Всего: </w:t>
      </w:r>
      <w:r>
        <w:rPr>
          <w:b/>
          <w:bCs/>
        </w:rPr>
        <w:t xml:space="preserve">0 </w:t>
      </w:r>
      <w:r>
        <w:rPr/>
        <w:t>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  <w:t>Расходы и их виды: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Средства, передаваемые в управление управляющей компании: 0 тыс. руб.</w:t>
      </w:r>
      <w:r>
        <w:rPr>
          <w:b/>
          <w:bCs/>
        </w:rPr>
      </w: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Административно-управленческие расходы: </w:t>
      </w:r>
      <w:r>
        <w:rPr>
          <w:b/>
          <w:bCs/>
        </w:rPr>
        <w:t>37,3</w:t>
      </w:r>
      <w:r>
        <w:rPr/>
        <w:t xml:space="preserve"> 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Расходы на проведение аудита: </w:t>
      </w:r>
      <w:r>
        <w:rPr>
          <w:b/>
          <w:bCs/>
        </w:rPr>
        <w:t>0</w:t>
      </w:r>
      <w:r>
        <w:rPr/>
        <w:t xml:space="preserve"> 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Общая сумма расходов управляющей компании, связанных с доверительным управлением имуществом, составляющим целевой капитал за 2025 год, </w:t>
      </w:r>
      <w:r>
        <w:rPr>
          <w:b/>
          <w:bCs/>
        </w:rPr>
        <w:t>113</w:t>
      </w:r>
      <w:r>
        <w:rPr/>
        <w:t xml:space="preserve"> 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Средства, направленные получателям дохода от целевого капитала: 0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Неиспользованный доход от доверительного управления, направленный на пополнение целевого капитала: 677 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 xml:space="preserve">Всего: </w:t>
      </w:r>
      <w:r>
        <w:rPr>
          <w:b/>
          <w:bCs/>
        </w:rPr>
        <w:t>150,3</w:t>
      </w:r>
      <w:r>
        <w:rPr/>
        <w:t xml:space="preserve"> тыс. руб.</w:t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  <w:t>Переходящий остаток на 2026 год: 7 192 тыс. руб.</w:t>
      </w:r>
      <w:r>
        <w:rPr>
          <w:b/>
          <w:bCs/>
        </w:rPr>
      </w: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/>
      </w:r>
    </w:p>
    <w:p>
      <w:pPr>
        <w:pStyle w:val="Normal"/>
        <w:widowControl w:val="false"/>
        <w:autoSpaceDE w:val="false"/>
        <w:ind w:firstLine="540" w:end="0"/>
        <w:jc w:val="both"/>
        <w:rPr/>
      </w:pPr>
      <w:r>
        <w:rPr>
          <w:b/>
        </w:rPr>
        <w:t>Нарушения, выявленные за 2025 год при формировании целевого капитала, а также при использовании, распределении дохода от целевого капитала не выявлены.</w:t>
      </w:r>
    </w:p>
    <w:p>
      <w:pPr>
        <w:pStyle w:val="Normal"/>
        <w:widowControl w:val="false"/>
        <w:autoSpaceDE w:val="false"/>
        <w:ind w:firstLine="540" w:end="0"/>
        <w:jc w:val="both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PT Astra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9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ascii="PT Astra Serif;Times New Roman" w:hAnsi="PT Astra Serif;Times New Roman" w:cs="Noto Sans Devanagari"/>
    </w:rPr>
  </w:style>
  <w:style w:type="paragraph" w:styleId="21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AF5743C602B40F3545A79B2737134FB31145B6EF003DD3CD2FF9562dCP" TargetMode="External"/><Relationship Id="rId3" Type="http://schemas.openxmlformats.org/officeDocument/2006/relationships/hyperlink" Target="consultantplus://offline/ref=7AF5743C602B40F3545A79B2737134FB321A546DFA518A3E83AA9B292160d7P" TargetMode="External"/><Relationship Id="rId4" Type="http://schemas.openxmlformats.org/officeDocument/2006/relationships/hyperlink" Target="consultantplus://offline/ref=7AF5743C602B40F3545A79B2737134FB321B5F6FFE528A3E83AA9B292160d7P" TargetMode="External"/><Relationship Id="rId5" Type="http://schemas.openxmlformats.org/officeDocument/2006/relationships/hyperlink" Target="consultantplus://offline/ref=7AF5743C602B40F3545A79B2737134FB321B5F6EF3528A3E83AA9B292160d7P" TargetMode="External"/><Relationship Id="rId6" Type="http://schemas.openxmlformats.org/officeDocument/2006/relationships/hyperlink" Target="consultantplus://offline/ref=7AF5743C602B40F3545A79B2737134FB321A5E6DFA5D8A3E83AA9B292160d7P" TargetMode="External"/><Relationship Id="rId7" Type="http://schemas.openxmlformats.org/officeDocument/2006/relationships/hyperlink" Target="consultantplus://offline/ref=7AF5743C602B40F3545A79B2737134FB32185563F2558A3E83AA9B292160d7P" TargetMode="External"/><Relationship Id="rId8" Type="http://schemas.openxmlformats.org/officeDocument/2006/relationships/hyperlink" Target="consultantplus://offline/ref=7AF5743C602B40F3545A79B2737134FB32185563F2558A3E83AA9B292107A7701D195C238677F91966d2P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LibreOffice/26.2.4.2$Linux_X86_64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2026-03-13T06:32:00Z</dcterms:created>
  <dc:creator>Lagashkina</dc:creator>
  <dc:description/>
  <cp:keywords/>
  <dc:language>en-US</dc:language>
  <cp:lastModifiedBy>Юрий Еременко</cp:lastModifiedBy>
  <cp:lastPrinted>2021-07-14T16:52:00Z</cp:lastPrinted>
  <dcterms:modified xsi:type="dcterms:W3CDTF">2026-05-26T13:14:00Z</dcterms:modified>
  <cp:revision>5</cp:revision>
  <dc:subject/>
  <dc:title>Утвержден решением Правления</dc:title>
</cp:coreProperties>
</file>